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6" w:lineRule="exact"/>
        <w:ind w:firstLine="880" w:firstLineChars="200"/>
        <w:rPr>
          <w:rFonts w:eastAsia="方正小标宋简体"/>
          <w:sz w:val="44"/>
        </w:rPr>
      </w:pPr>
    </w:p>
    <w:p>
      <w:pPr>
        <w:spacing w:line="556" w:lineRule="exact"/>
        <w:ind w:firstLine="880" w:firstLineChars="200"/>
        <w:rPr>
          <w:rFonts w:eastAsia="方正小标宋简体"/>
          <w:sz w:val="44"/>
        </w:rPr>
      </w:pPr>
    </w:p>
    <w:p>
      <w:pPr>
        <w:spacing w:line="556" w:lineRule="exact"/>
        <w:ind w:firstLine="880" w:firstLineChars="200"/>
        <w:rPr>
          <w:rFonts w:eastAsia="方正小标宋简体"/>
          <w:sz w:val="44"/>
        </w:rPr>
      </w:pPr>
    </w:p>
    <w:p>
      <w:pPr>
        <w:spacing w:line="580" w:lineRule="exact"/>
        <w:jc w:val="center"/>
        <w:rPr>
          <w:sz w:val="44"/>
        </w:rPr>
      </w:pPr>
      <w:r>
        <w:rPr>
          <w:rFonts w:hint="eastAsia" w:eastAsia="方正小标宋简体"/>
          <w:sz w:val="44"/>
        </w:rPr>
        <w:t>阳江市生态环境局</w:t>
      </w:r>
      <w:r>
        <w:rPr>
          <w:rFonts w:eastAsia="方正小标宋简体"/>
          <w:sz w:val="44"/>
        </w:rPr>
        <w:t>行政处罚</w:t>
      </w:r>
      <w:r>
        <w:rPr>
          <w:rFonts w:hint="eastAsia" w:eastAsia="方正小标宋简体"/>
          <w:sz w:val="44"/>
        </w:rPr>
        <w:t>决定</w:t>
      </w:r>
      <w:r>
        <w:rPr>
          <w:rFonts w:eastAsia="方正小标宋简体"/>
          <w:sz w:val="44"/>
        </w:rPr>
        <w:t>书</w:t>
      </w:r>
    </w:p>
    <w:p>
      <w:pPr>
        <w:spacing w:line="580" w:lineRule="exact"/>
        <w:jc w:val="center"/>
        <w:rPr>
          <w:rFonts w:eastAsia="方正仿宋简体"/>
          <w:sz w:val="32"/>
        </w:rPr>
      </w:pPr>
      <w:r>
        <w:rPr>
          <w:rFonts w:eastAsia="方正仿宋简体"/>
          <w:sz w:val="32"/>
          <w:szCs w:val="32"/>
        </w:rPr>
        <w:t>阳环江罚字〔20</w:t>
      </w:r>
      <w:r>
        <w:rPr>
          <w:rFonts w:hint="eastAsia" w:eastAsia="方正仿宋简体"/>
          <w:sz w:val="32"/>
          <w:szCs w:val="32"/>
        </w:rPr>
        <w:t>21</w:t>
      </w:r>
      <w:r>
        <w:rPr>
          <w:rFonts w:eastAsia="方正仿宋简体"/>
          <w:sz w:val="32"/>
          <w:szCs w:val="32"/>
        </w:rPr>
        <w:t>〕</w:t>
      </w:r>
      <w:r>
        <w:rPr>
          <w:rFonts w:hint="eastAsia" w:eastAsia="方正仿宋简体"/>
          <w:sz w:val="32"/>
          <w:szCs w:val="32"/>
          <w:lang w:val="en-US" w:eastAsia="zh-CN"/>
        </w:rPr>
        <w:t>2</w:t>
      </w:r>
      <w:r>
        <w:rPr>
          <w:rFonts w:eastAsia="方正仿宋简体"/>
          <w:sz w:val="32"/>
          <w:szCs w:val="32"/>
        </w:rPr>
        <w:t>号</w:t>
      </w:r>
    </w:p>
    <w:p>
      <w:pPr>
        <w:spacing w:line="579" w:lineRule="exact"/>
        <w:rPr>
          <w:rFonts w:eastAsia="方正仿宋简体"/>
          <w:sz w:val="32"/>
        </w:rPr>
      </w:pPr>
    </w:p>
    <w:p>
      <w:pPr>
        <w:widowControl/>
        <w:spacing w:line="579" w:lineRule="exact"/>
        <w:rPr>
          <w:rFonts w:eastAsia="方正仿宋简体"/>
          <w:kern w:val="0"/>
          <w:sz w:val="32"/>
          <w:szCs w:val="32"/>
        </w:rPr>
      </w:pPr>
      <w:r>
        <w:rPr>
          <w:rFonts w:hint="eastAsia" w:eastAsia="方正仿宋简体"/>
          <w:kern w:val="0"/>
          <w:sz w:val="32"/>
          <w:szCs w:val="32"/>
        </w:rPr>
        <w:t>广东恒佳建材股份有限公司</w:t>
      </w:r>
      <w:r>
        <w:rPr>
          <w:rFonts w:eastAsia="方正仿宋简体"/>
          <w:kern w:val="0"/>
          <w:sz w:val="32"/>
          <w:szCs w:val="32"/>
        </w:rPr>
        <w:t>:</w:t>
      </w:r>
    </w:p>
    <w:p>
      <w:pPr>
        <w:widowControl/>
        <w:spacing w:line="579" w:lineRule="exact"/>
        <w:rPr>
          <w:rFonts w:eastAsia="方正仿宋简体"/>
          <w:kern w:val="0"/>
          <w:sz w:val="32"/>
          <w:szCs w:val="32"/>
        </w:rPr>
      </w:pPr>
      <w:r>
        <w:rPr>
          <w:rFonts w:hint="eastAsia" w:eastAsia="方正仿宋简体"/>
          <w:kern w:val="0"/>
          <w:sz w:val="32"/>
          <w:szCs w:val="32"/>
        </w:rPr>
        <w:t>统一社会信用代码</w:t>
      </w:r>
      <w:r>
        <w:rPr>
          <w:rFonts w:eastAsia="方正仿宋简体"/>
          <w:kern w:val="0"/>
          <w:sz w:val="32"/>
          <w:szCs w:val="32"/>
        </w:rPr>
        <w:t>：</w:t>
      </w:r>
      <w:r>
        <w:rPr>
          <w:rFonts w:hint="eastAsia" w:eastAsia="方正仿宋简体"/>
          <w:kern w:val="0"/>
          <w:sz w:val="32"/>
          <w:szCs w:val="32"/>
        </w:rPr>
        <w:t>91441700666490886D</w:t>
      </w:r>
    </w:p>
    <w:p>
      <w:pPr>
        <w:widowControl/>
        <w:spacing w:line="579" w:lineRule="exact"/>
        <w:ind w:left="944" w:hanging="944" w:hangingChars="295"/>
        <w:rPr>
          <w:rFonts w:eastAsia="方正仿宋简体"/>
          <w:kern w:val="0"/>
          <w:sz w:val="32"/>
          <w:szCs w:val="32"/>
        </w:rPr>
      </w:pPr>
      <w:r>
        <w:rPr>
          <w:rFonts w:hint="eastAsia" w:eastAsia="方正仿宋简体"/>
          <w:kern w:val="0"/>
          <w:sz w:val="32"/>
          <w:szCs w:val="32"/>
        </w:rPr>
        <w:t>住所</w:t>
      </w:r>
      <w:r>
        <w:rPr>
          <w:rFonts w:eastAsia="方正仿宋简体"/>
          <w:kern w:val="0"/>
          <w:sz w:val="32"/>
          <w:szCs w:val="32"/>
        </w:rPr>
        <w:t>：</w:t>
      </w:r>
      <w:r>
        <w:rPr>
          <w:rFonts w:hint="eastAsia" w:eastAsia="方正仿宋简体"/>
          <w:kern w:val="0"/>
          <w:sz w:val="32"/>
          <w:szCs w:val="32"/>
        </w:rPr>
        <w:t>阳江市江城区双捷镇站港公路边</w:t>
      </w:r>
    </w:p>
    <w:p>
      <w:pPr>
        <w:widowControl/>
        <w:spacing w:line="579" w:lineRule="exact"/>
        <w:rPr>
          <w:rFonts w:eastAsia="方正仿宋简体"/>
          <w:kern w:val="0"/>
          <w:sz w:val="32"/>
          <w:szCs w:val="32"/>
        </w:rPr>
      </w:pPr>
      <w:r>
        <w:rPr>
          <w:rFonts w:hint="eastAsia" w:eastAsia="方正仿宋简体"/>
          <w:kern w:val="0"/>
          <w:sz w:val="32"/>
          <w:szCs w:val="32"/>
        </w:rPr>
        <w:t>法定代表人</w:t>
      </w:r>
      <w:r>
        <w:rPr>
          <w:rFonts w:eastAsia="方正仿宋简体"/>
          <w:kern w:val="0"/>
          <w:sz w:val="32"/>
          <w:szCs w:val="32"/>
        </w:rPr>
        <w:t>：</w:t>
      </w:r>
      <w:r>
        <w:rPr>
          <w:rFonts w:hint="eastAsia" w:eastAsia="方正仿宋简体"/>
          <w:kern w:val="0"/>
          <w:sz w:val="32"/>
          <w:szCs w:val="32"/>
        </w:rPr>
        <w:t>林振军</w:t>
      </w:r>
    </w:p>
    <w:p>
      <w:pPr>
        <w:widowControl/>
        <w:spacing w:line="579" w:lineRule="exact"/>
        <w:ind w:firstLine="643" w:firstLineChars="200"/>
        <w:rPr>
          <w:rFonts w:eastAsia="方正仿宋简体"/>
          <w:kern w:val="0"/>
          <w:sz w:val="32"/>
          <w:szCs w:val="32"/>
        </w:rPr>
      </w:pPr>
      <w:r>
        <w:rPr>
          <w:rFonts w:eastAsia="方正仿宋简体"/>
          <w:b/>
          <w:kern w:val="0"/>
          <w:sz w:val="32"/>
          <w:szCs w:val="32"/>
        </w:rPr>
        <w:t>一、调查情况及发现环境违法事实、证据和陈述申辩（听证）及采纳情况</w:t>
      </w:r>
    </w:p>
    <w:p>
      <w:pPr>
        <w:widowControl/>
        <w:spacing w:line="579" w:lineRule="exact"/>
        <w:ind w:firstLine="640" w:firstLineChars="200"/>
        <w:rPr>
          <w:rFonts w:eastAsia="方正仿宋简体"/>
          <w:kern w:val="0"/>
          <w:sz w:val="32"/>
          <w:szCs w:val="32"/>
        </w:rPr>
      </w:pPr>
      <w:r>
        <w:rPr>
          <w:rFonts w:hint="eastAsia" w:eastAsia="方正仿宋简体"/>
          <w:kern w:val="0"/>
          <w:sz w:val="32"/>
          <w:szCs w:val="32"/>
        </w:rPr>
        <w:t>我局执法人员于2021年3月9日对位于阳江市江城区双捷镇站港公路边的广东恒佳建材股份有限公司（以下简称“你公司”）</w:t>
      </w:r>
      <w:r>
        <w:rPr>
          <w:rFonts w:eastAsia="方正仿宋简体"/>
          <w:kern w:val="0"/>
          <w:sz w:val="32"/>
          <w:szCs w:val="32"/>
        </w:rPr>
        <w:t>投资经营的</w:t>
      </w:r>
      <w:r>
        <w:rPr>
          <w:rFonts w:hint="eastAsia" w:eastAsia="方正仿宋简体"/>
          <w:kern w:val="0"/>
          <w:sz w:val="32"/>
          <w:szCs w:val="32"/>
        </w:rPr>
        <w:t>商品混凝土</w:t>
      </w:r>
      <w:r>
        <w:rPr>
          <w:rFonts w:eastAsia="方正仿宋简体"/>
          <w:kern w:val="0"/>
          <w:sz w:val="32"/>
          <w:szCs w:val="32"/>
        </w:rPr>
        <w:t>搅拌</w:t>
      </w:r>
      <w:r>
        <w:rPr>
          <w:rFonts w:hint="eastAsia" w:eastAsia="方正仿宋简体"/>
          <w:kern w:val="0"/>
          <w:sz w:val="32"/>
          <w:szCs w:val="32"/>
        </w:rPr>
        <w:t xml:space="preserve">生产线进行了现场检查：现场检查时你公司在原公司区内新扩建1条商品混凝土搅拌生产线正常生产使用，该商品混凝土搅拌生产线于2018年3月开工建设并于2018年8月建成并正式投入生产使用。你公司新扩建1条商品混凝土搅拌生产线建设项目为商品混凝土搅拌生产线，环评类别应列为报告表，总投资金额950万元人民币。该新扩建1条商品混凝土搅拌生产线主体工程是混凝土搅拌车间, 主要生产设备有：三一S4000双轴卧式混凝土搅拌机1套。生产工艺流程：水泥、砂子、石料、水、石灰石、减水剂、粉煤灰（按比例选取）→铲车装料→输送带输送（或注入）→搅拌机混合搅拌→成品→装车出料。新扩建1条商品混凝土搅拌生产线项目主要产生污染物是混凝土搅拌车间生产时产生的废气（粉尘），废气（粉尘）经脉冲式除尘器处理后烟囱引向高空排放。经查，你公司实施了以下环境违法行为： </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新扩建1条商品混凝土搅拌生产线已建成需要配套建设的环境污染防治设施，但该建设项目未按规定程序进行验收擅自投入生产使用。</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上述事实有我局执法人员2021年3月9日《阳江市生态环境局江城分局现场检查（勘验）笔录》、2021年3月10日《阳江市生态环境局江城分局询问笔录》等证据予以证实。</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你公司</w:t>
      </w:r>
      <w:r>
        <w:rPr>
          <w:rFonts w:eastAsia="方正仿宋简体"/>
          <w:kern w:val="0"/>
          <w:sz w:val="32"/>
          <w:szCs w:val="32"/>
        </w:rPr>
        <w:t>上述行为</w:t>
      </w:r>
      <w:r>
        <w:rPr>
          <w:rFonts w:hint="eastAsia" w:eastAsia="方正仿宋简体"/>
          <w:kern w:val="0"/>
          <w:sz w:val="32"/>
          <w:szCs w:val="32"/>
        </w:rPr>
        <w:t>违反了《建设项目环境保护管理条例》第十九条第一款：“</w:t>
      </w:r>
      <w:r>
        <w:rPr>
          <w:rFonts w:eastAsia="方正仿宋简体"/>
          <w:kern w:val="0"/>
          <w:sz w:val="32"/>
          <w:szCs w:val="32"/>
        </w:rPr>
        <w:t>编制环境影响报告书、环境影响报告表的建设项目，其配套建设的环境保护设施经验收合格，方可投入生产或者使用；未经验收或者验收不合格的，不得投入生产或者使用</w:t>
      </w:r>
      <w:r>
        <w:rPr>
          <w:rFonts w:hint="eastAsia" w:eastAsia="方正仿宋简体"/>
          <w:kern w:val="0"/>
          <w:sz w:val="32"/>
          <w:szCs w:val="32"/>
        </w:rPr>
        <w:t>。”的规定。</w:t>
      </w:r>
    </w:p>
    <w:p>
      <w:pPr>
        <w:widowControl/>
        <w:shd w:val="solid" w:color="FFFFFF" w:fill="auto"/>
        <w:autoSpaceDN w:val="0"/>
        <w:spacing w:line="540" w:lineRule="exact"/>
        <w:ind w:firstLine="640" w:firstLineChars="200"/>
        <w:rPr>
          <w:rFonts w:eastAsia="方正仿宋简体"/>
          <w:kern w:val="0"/>
          <w:sz w:val="32"/>
          <w:szCs w:val="32"/>
        </w:rPr>
      </w:pPr>
      <w:r>
        <w:rPr>
          <w:rFonts w:hint="eastAsia" w:eastAsia="方正仿宋简体"/>
          <w:kern w:val="0"/>
          <w:sz w:val="32"/>
          <w:szCs w:val="32"/>
        </w:rPr>
        <w:t>你公司违法行为事实清楚、证据充分，应当依法予以你公司相应的行政处罚。</w:t>
      </w:r>
    </w:p>
    <w:p>
      <w:pPr>
        <w:widowControl/>
        <w:shd w:val="solid" w:color="FFFFFF" w:fill="auto"/>
        <w:autoSpaceDN w:val="0"/>
        <w:spacing w:line="540" w:lineRule="exact"/>
        <w:ind w:firstLine="640" w:firstLineChars="200"/>
        <w:rPr>
          <w:rFonts w:eastAsia="方正仿宋简体"/>
          <w:color w:val="0000FF"/>
          <w:kern w:val="0"/>
          <w:sz w:val="32"/>
          <w:szCs w:val="32"/>
        </w:rPr>
      </w:pPr>
      <w:r>
        <w:rPr>
          <w:rFonts w:eastAsia="方正仿宋简体"/>
          <w:color w:val="auto"/>
          <w:kern w:val="0"/>
          <w:sz w:val="32"/>
          <w:szCs w:val="32"/>
        </w:rPr>
        <w:t>我局于20</w:t>
      </w:r>
      <w:r>
        <w:rPr>
          <w:rFonts w:hint="eastAsia" w:eastAsia="方正仿宋简体"/>
          <w:color w:val="auto"/>
          <w:kern w:val="0"/>
          <w:sz w:val="32"/>
          <w:szCs w:val="32"/>
        </w:rPr>
        <w:t>2</w:t>
      </w:r>
      <w:r>
        <w:rPr>
          <w:rFonts w:hint="eastAsia" w:eastAsia="方正仿宋简体"/>
          <w:color w:val="auto"/>
          <w:kern w:val="0"/>
          <w:sz w:val="32"/>
          <w:szCs w:val="32"/>
          <w:lang w:val="en-US" w:eastAsia="zh-CN"/>
        </w:rPr>
        <w:t>1</w:t>
      </w:r>
      <w:r>
        <w:rPr>
          <w:rFonts w:eastAsia="方正仿宋简体"/>
          <w:color w:val="auto"/>
          <w:kern w:val="0"/>
          <w:sz w:val="32"/>
          <w:szCs w:val="32"/>
        </w:rPr>
        <w:t>年</w:t>
      </w:r>
      <w:r>
        <w:rPr>
          <w:rFonts w:hint="eastAsia" w:eastAsia="方正仿宋简体"/>
          <w:color w:val="auto"/>
          <w:kern w:val="0"/>
          <w:sz w:val="32"/>
          <w:szCs w:val="32"/>
          <w:lang w:val="en-US" w:eastAsia="zh-CN"/>
        </w:rPr>
        <w:t>3</w:t>
      </w:r>
      <w:r>
        <w:rPr>
          <w:rFonts w:eastAsia="方正仿宋简体"/>
          <w:color w:val="auto"/>
          <w:kern w:val="0"/>
          <w:sz w:val="32"/>
          <w:szCs w:val="32"/>
        </w:rPr>
        <w:t>月</w:t>
      </w:r>
      <w:r>
        <w:rPr>
          <w:rFonts w:hint="eastAsia" w:eastAsia="方正仿宋简体"/>
          <w:color w:val="auto"/>
          <w:kern w:val="0"/>
          <w:sz w:val="32"/>
          <w:szCs w:val="32"/>
          <w:lang w:val="en-US" w:eastAsia="zh-CN"/>
        </w:rPr>
        <w:t>16</w:t>
      </w:r>
      <w:r>
        <w:rPr>
          <w:rFonts w:eastAsia="方正仿宋简体"/>
          <w:color w:val="auto"/>
          <w:kern w:val="0"/>
          <w:sz w:val="32"/>
          <w:szCs w:val="32"/>
        </w:rPr>
        <w:t>日</w:t>
      </w:r>
      <w:r>
        <w:rPr>
          <w:rFonts w:hint="eastAsia" w:eastAsia="方正仿宋简体"/>
          <w:color w:val="auto"/>
          <w:kern w:val="0"/>
          <w:sz w:val="32"/>
          <w:szCs w:val="32"/>
        </w:rPr>
        <w:t>对你公司送达了《行政处罚听证告知书》（</w:t>
      </w:r>
      <w:r>
        <w:rPr>
          <w:rFonts w:eastAsia="方正仿宋简体"/>
          <w:color w:val="auto"/>
          <w:kern w:val="0"/>
          <w:sz w:val="32"/>
          <w:szCs w:val="32"/>
        </w:rPr>
        <w:t>阳环</w:t>
      </w:r>
      <w:r>
        <w:rPr>
          <w:rFonts w:hint="eastAsia" w:eastAsia="方正仿宋简体"/>
          <w:color w:val="auto"/>
          <w:kern w:val="0"/>
          <w:sz w:val="32"/>
          <w:szCs w:val="32"/>
        </w:rPr>
        <w:t>江听</w:t>
      </w:r>
      <w:r>
        <w:rPr>
          <w:rFonts w:eastAsia="方正仿宋简体"/>
          <w:color w:val="auto"/>
          <w:kern w:val="0"/>
          <w:sz w:val="32"/>
          <w:szCs w:val="32"/>
        </w:rPr>
        <w:t>告字〔20</w:t>
      </w:r>
      <w:r>
        <w:rPr>
          <w:rFonts w:hint="eastAsia" w:eastAsia="方正仿宋简体"/>
          <w:color w:val="auto"/>
          <w:kern w:val="0"/>
          <w:sz w:val="32"/>
          <w:szCs w:val="32"/>
        </w:rPr>
        <w:t>2</w:t>
      </w:r>
      <w:r>
        <w:rPr>
          <w:rFonts w:hint="eastAsia" w:eastAsia="方正仿宋简体"/>
          <w:color w:val="auto"/>
          <w:kern w:val="0"/>
          <w:sz w:val="32"/>
          <w:szCs w:val="32"/>
          <w:lang w:val="en-US" w:eastAsia="zh-CN"/>
        </w:rPr>
        <w:t>1</w:t>
      </w:r>
      <w:r>
        <w:rPr>
          <w:rFonts w:eastAsia="方正仿宋简体"/>
          <w:color w:val="auto"/>
          <w:kern w:val="0"/>
          <w:sz w:val="32"/>
          <w:szCs w:val="32"/>
        </w:rPr>
        <w:t>〕</w:t>
      </w:r>
      <w:r>
        <w:rPr>
          <w:rFonts w:hint="eastAsia" w:eastAsia="方正仿宋简体"/>
          <w:color w:val="auto"/>
          <w:kern w:val="0"/>
          <w:sz w:val="32"/>
          <w:szCs w:val="32"/>
          <w:lang w:val="en-US" w:eastAsia="zh-CN"/>
        </w:rPr>
        <w:t>2</w:t>
      </w:r>
      <w:r>
        <w:rPr>
          <w:rFonts w:eastAsia="方正仿宋简体"/>
          <w:color w:val="auto"/>
          <w:kern w:val="0"/>
          <w:sz w:val="32"/>
          <w:szCs w:val="32"/>
        </w:rPr>
        <w:t>号</w:t>
      </w:r>
      <w:r>
        <w:rPr>
          <w:rFonts w:hint="eastAsia" w:eastAsia="方正仿宋简体"/>
          <w:color w:val="auto"/>
          <w:kern w:val="0"/>
          <w:sz w:val="32"/>
          <w:szCs w:val="32"/>
        </w:rPr>
        <w:t>），告知你公司违法事实、处罚依据和拟作出的处罚决定，并告知你公司享有陈述、申辩及听证权利。你公司在法定期限内未向我局提供陈述、申辩意见，又不申请听证，因此我局认定你公司放弃陈述、申辩和听证的权利</w:t>
      </w:r>
      <w:r>
        <w:rPr>
          <w:rFonts w:eastAsia="方正仿宋简体"/>
          <w:color w:val="auto"/>
          <w:kern w:val="0"/>
          <w:sz w:val="32"/>
          <w:szCs w:val="32"/>
        </w:rPr>
        <w:t>。</w:t>
      </w:r>
    </w:p>
    <w:p>
      <w:pPr>
        <w:widowControl/>
        <w:shd w:val="solid" w:color="FFFFFF" w:fill="auto"/>
        <w:autoSpaceDN w:val="0"/>
        <w:spacing w:line="540" w:lineRule="exact"/>
        <w:ind w:firstLine="643" w:firstLineChars="200"/>
        <w:rPr>
          <w:rFonts w:eastAsia="方正仿宋简体"/>
          <w:b/>
          <w:kern w:val="0"/>
          <w:sz w:val="32"/>
          <w:szCs w:val="32"/>
        </w:rPr>
      </w:pPr>
      <w:r>
        <w:rPr>
          <w:rFonts w:eastAsia="方正仿宋简体"/>
          <w:b/>
          <w:kern w:val="0"/>
          <w:sz w:val="32"/>
          <w:szCs w:val="32"/>
        </w:rPr>
        <w:t>二、行政处罚的依据、种类以及履行方式和期限</w:t>
      </w:r>
    </w:p>
    <w:p>
      <w:pPr>
        <w:autoSpaceDE w:val="0"/>
        <w:autoSpaceDN w:val="0"/>
        <w:adjustRightInd w:val="0"/>
        <w:spacing w:line="560" w:lineRule="exact"/>
        <w:ind w:firstLine="640" w:firstLineChars="200"/>
        <w:rPr>
          <w:rFonts w:eastAsia="方正仿宋简体"/>
          <w:kern w:val="0"/>
          <w:sz w:val="32"/>
          <w:szCs w:val="32"/>
        </w:rPr>
      </w:pPr>
      <w:r>
        <w:rPr>
          <w:rFonts w:eastAsia="方正仿宋简体"/>
          <w:kern w:val="0"/>
          <w:sz w:val="32"/>
          <w:szCs w:val="32"/>
        </w:rPr>
        <w:t>根据</w:t>
      </w:r>
      <w:r>
        <w:rPr>
          <w:rFonts w:hint="eastAsia" w:eastAsia="方正仿宋简体"/>
          <w:kern w:val="0"/>
          <w:sz w:val="32"/>
          <w:szCs w:val="32"/>
        </w:rPr>
        <w:t>《建设项目环境保护管理条例》</w:t>
      </w:r>
      <w:r>
        <w:rPr>
          <w:rFonts w:eastAsia="方正仿宋简体"/>
          <w:kern w:val="0"/>
          <w:sz w:val="32"/>
          <w:szCs w:val="32"/>
        </w:rPr>
        <w:t>第二十三条</w:t>
      </w:r>
      <w:r>
        <w:rPr>
          <w:rFonts w:hint="eastAsia" w:eastAsia="方正仿宋简体"/>
          <w:kern w:val="0"/>
          <w:sz w:val="32"/>
          <w:szCs w:val="32"/>
        </w:rPr>
        <w:t>：“</w:t>
      </w:r>
      <w:r>
        <w:rPr>
          <w:rFonts w:eastAsia="方正仿宋简体"/>
          <w:kern w:val="0"/>
          <w:sz w:val="32"/>
          <w:szCs w:val="32"/>
        </w:rPr>
        <w:t>违反本条例规定，需要配套建设的环境保护设施未建成、未经验收或者验收不合格，建设项目即投入生产或者使用，或者在环境保护设施验收中弄虚作假的，由县级以上环境保护行政主管部门责令限期改正，处20万元以上100万元以下的罚款；逾期不改正的，处100万元以上200万元以下的罚款；</w:t>
      </w:r>
      <w:r>
        <w:rPr>
          <w:rFonts w:hint="eastAsia" w:eastAsia="方正仿宋简体"/>
          <w:kern w:val="0"/>
          <w:sz w:val="32"/>
          <w:szCs w:val="32"/>
        </w:rPr>
        <w:t>……”的规定。参照《阳江市环境保护局行政处罚自由裁量细化标准》违法种类二、违法行为（一）、法定罚则1、级别甲、档次B的标准。</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我局决定</w:t>
      </w:r>
      <w:r>
        <w:rPr>
          <w:rFonts w:hint="eastAsia" w:eastAsia="方正仿宋简体"/>
          <w:kern w:val="0"/>
          <w:sz w:val="32"/>
          <w:szCs w:val="32"/>
          <w:lang w:val="en-US" w:eastAsia="zh-CN"/>
        </w:rPr>
        <w:t>决定</w:t>
      </w:r>
      <w:r>
        <w:rPr>
          <w:rFonts w:hint="eastAsia" w:eastAsia="方正仿宋简体"/>
          <w:kern w:val="0"/>
          <w:sz w:val="32"/>
          <w:szCs w:val="32"/>
        </w:rPr>
        <w:t>对你公司作出如下行政处罚：</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罚款人民币叁拾万元整（</w:t>
      </w:r>
      <w:r>
        <w:rPr>
          <w:rFonts w:hint="eastAsia" w:eastAsia="方正仿宋简体"/>
          <w:color w:val="auto"/>
          <w:kern w:val="0"/>
          <w:sz w:val="32"/>
          <w:szCs w:val="32"/>
        </w:rPr>
        <w:t>¥</w:t>
      </w:r>
      <w:r>
        <w:rPr>
          <w:rFonts w:hint="eastAsia" w:eastAsia="方正仿宋简体"/>
          <w:kern w:val="0"/>
          <w:sz w:val="32"/>
          <w:szCs w:val="32"/>
        </w:rPr>
        <w:t>300000.00元）。</w:t>
      </w:r>
    </w:p>
    <w:p>
      <w:pPr>
        <w:widowControl/>
        <w:shd w:val="solid" w:color="FFFFFF" w:fill="auto"/>
        <w:autoSpaceDN w:val="0"/>
        <w:spacing w:line="540" w:lineRule="exact"/>
        <w:ind w:firstLine="640" w:firstLineChars="200"/>
        <w:rPr>
          <w:rFonts w:eastAsia="方正仿宋简体"/>
          <w:kern w:val="0"/>
          <w:sz w:val="32"/>
          <w:szCs w:val="32"/>
        </w:rPr>
      </w:pPr>
      <w:r>
        <w:rPr>
          <w:rFonts w:eastAsia="方正仿宋简体"/>
          <w:kern w:val="0"/>
          <w:sz w:val="32"/>
          <w:szCs w:val="32"/>
        </w:rPr>
        <w:t>根据《行政处罚法》和《罚款决定与罚款收缴分离实施办法》的规定，</w:t>
      </w:r>
      <w:r>
        <w:rPr>
          <w:rFonts w:hint="eastAsia" w:eastAsia="方正仿宋简体"/>
          <w:kern w:val="0"/>
          <w:sz w:val="32"/>
          <w:szCs w:val="32"/>
        </w:rPr>
        <w:t>你公司</w:t>
      </w:r>
      <w:r>
        <w:rPr>
          <w:rFonts w:eastAsia="方正仿宋简体"/>
          <w:kern w:val="0"/>
          <w:sz w:val="32"/>
          <w:szCs w:val="32"/>
        </w:rPr>
        <w:t>应于接到本处罚决定书之日起十五日内，到阳江市</w:t>
      </w:r>
      <w:r>
        <w:rPr>
          <w:rFonts w:hint="eastAsia" w:eastAsia="方正仿宋简体"/>
          <w:kern w:val="0"/>
          <w:sz w:val="32"/>
          <w:szCs w:val="32"/>
        </w:rPr>
        <w:t>生态环境</w:t>
      </w:r>
      <w:r>
        <w:rPr>
          <w:rFonts w:eastAsia="方正仿宋简体"/>
          <w:kern w:val="0"/>
          <w:sz w:val="32"/>
          <w:szCs w:val="32"/>
        </w:rPr>
        <w:t>局</w:t>
      </w:r>
      <w:r>
        <w:rPr>
          <w:rFonts w:hint="eastAsia" w:eastAsia="方正仿宋简体"/>
          <w:kern w:val="0"/>
          <w:sz w:val="32"/>
          <w:szCs w:val="32"/>
        </w:rPr>
        <w:t>江城分局</w:t>
      </w:r>
      <w:r>
        <w:rPr>
          <w:rFonts w:eastAsia="方正仿宋简体"/>
          <w:kern w:val="0"/>
          <w:sz w:val="32"/>
          <w:szCs w:val="32"/>
        </w:rPr>
        <w:t>开具</w:t>
      </w:r>
      <w:r>
        <w:rPr>
          <w:rFonts w:hint="eastAsia" w:eastAsia="方正仿宋简体"/>
          <w:kern w:val="0"/>
          <w:sz w:val="32"/>
          <w:szCs w:val="32"/>
        </w:rPr>
        <w:t>《阳江市非税收入罚没通知书》</w:t>
      </w:r>
      <w:r>
        <w:rPr>
          <w:rFonts w:eastAsia="方正仿宋简体"/>
          <w:kern w:val="0"/>
          <w:sz w:val="32"/>
          <w:szCs w:val="32"/>
        </w:rPr>
        <w:t>，将罚款缴至指定银行和帐号，</w:t>
      </w:r>
      <w:r>
        <w:rPr>
          <w:rFonts w:hint="eastAsia" w:eastAsia="方正仿宋简体"/>
          <w:kern w:val="0"/>
          <w:sz w:val="32"/>
          <w:szCs w:val="32"/>
        </w:rPr>
        <w:t>你公司</w:t>
      </w:r>
      <w:r>
        <w:rPr>
          <w:rFonts w:eastAsia="方正仿宋简体"/>
          <w:kern w:val="0"/>
          <w:sz w:val="32"/>
          <w:szCs w:val="32"/>
        </w:rPr>
        <w:t>缴纳罚款后应将缴款凭据</w:t>
      </w:r>
      <w:r>
        <w:rPr>
          <w:rFonts w:hint="eastAsia" w:eastAsia="方正仿宋简体"/>
          <w:kern w:val="0"/>
          <w:sz w:val="32"/>
          <w:szCs w:val="32"/>
        </w:rPr>
        <w:t>《广东省非税收入（电子）票据》的执收单位联</w:t>
      </w:r>
      <w:r>
        <w:rPr>
          <w:rFonts w:eastAsia="方正仿宋简体"/>
          <w:kern w:val="0"/>
          <w:sz w:val="32"/>
          <w:szCs w:val="32"/>
        </w:rPr>
        <w:t>报送我局备案。逾期不缴纳罚款的，我局将每日按罚款数额的3%加处罚款。</w:t>
      </w:r>
      <w:r>
        <w:rPr>
          <w:rFonts w:hint="eastAsia" w:eastAsia="方正仿宋简体"/>
          <w:kern w:val="0"/>
          <w:sz w:val="32"/>
          <w:szCs w:val="32"/>
        </w:rPr>
        <w:t>罚款应缴至以下银行：</w:t>
      </w:r>
    </w:p>
    <w:p>
      <w:pPr>
        <w:widowControl/>
        <w:shd w:val="solid" w:color="FFFFFF" w:fill="auto"/>
        <w:autoSpaceDN w:val="0"/>
        <w:spacing w:line="540" w:lineRule="exact"/>
        <w:ind w:firstLine="640" w:firstLineChars="200"/>
        <w:rPr>
          <w:rFonts w:eastAsia="方正仿宋简体"/>
          <w:kern w:val="0"/>
          <w:sz w:val="32"/>
          <w:szCs w:val="32"/>
        </w:rPr>
      </w:pPr>
      <w:r>
        <w:rPr>
          <w:rFonts w:eastAsia="方正仿宋简体"/>
          <w:kern w:val="0"/>
          <w:sz w:val="32"/>
          <w:szCs w:val="32"/>
        </w:rPr>
        <w:t>收款银行：中国建设银行阳江市分行</w:t>
      </w:r>
    </w:p>
    <w:p>
      <w:pPr>
        <w:widowControl/>
        <w:shd w:val="solid" w:color="FFFFFF" w:fill="auto"/>
        <w:autoSpaceDN w:val="0"/>
        <w:spacing w:line="540" w:lineRule="exact"/>
        <w:ind w:firstLine="640" w:firstLineChars="200"/>
        <w:rPr>
          <w:rFonts w:eastAsia="方正仿宋简体"/>
          <w:kern w:val="0"/>
          <w:sz w:val="32"/>
          <w:szCs w:val="32"/>
        </w:rPr>
      </w:pPr>
      <w:r>
        <w:rPr>
          <w:rFonts w:eastAsia="方正仿宋简体"/>
          <w:kern w:val="0"/>
          <w:sz w:val="32"/>
          <w:szCs w:val="32"/>
        </w:rPr>
        <w:t>帐户名称：待报解预算收入内转户</w:t>
      </w:r>
    </w:p>
    <w:p>
      <w:pPr>
        <w:autoSpaceDE w:val="0"/>
        <w:autoSpaceDN w:val="0"/>
        <w:adjustRightInd w:val="0"/>
        <w:spacing w:line="560" w:lineRule="exact"/>
        <w:ind w:firstLine="640" w:firstLineChars="200"/>
        <w:rPr>
          <w:rFonts w:eastAsia="方正仿宋简体"/>
          <w:kern w:val="0"/>
          <w:sz w:val="32"/>
          <w:szCs w:val="32"/>
        </w:rPr>
      </w:pPr>
      <w:r>
        <w:rPr>
          <w:rFonts w:eastAsia="方正仿宋简体"/>
          <w:kern w:val="0"/>
          <w:sz w:val="32"/>
          <w:szCs w:val="32"/>
        </w:rPr>
        <w:t>帐号：440758608156241035009908001</w:t>
      </w:r>
    </w:p>
    <w:p>
      <w:pPr>
        <w:widowControl/>
        <w:shd w:val="solid" w:color="FFFFFF" w:fill="auto"/>
        <w:autoSpaceDN w:val="0"/>
        <w:spacing w:line="540" w:lineRule="exact"/>
        <w:ind w:firstLine="643" w:firstLineChars="200"/>
        <w:rPr>
          <w:rFonts w:eastAsia="方正仿宋简体"/>
          <w:b/>
          <w:kern w:val="0"/>
          <w:sz w:val="32"/>
          <w:szCs w:val="32"/>
        </w:rPr>
      </w:pPr>
      <w:r>
        <w:rPr>
          <w:rFonts w:eastAsia="方正仿宋简体"/>
          <w:b/>
          <w:kern w:val="0"/>
          <w:sz w:val="32"/>
          <w:szCs w:val="32"/>
        </w:rPr>
        <w:t>三、申请行政复议或者提起行政诉讼的途径和期限</w:t>
      </w:r>
    </w:p>
    <w:p>
      <w:pPr>
        <w:widowControl/>
        <w:shd w:val="solid" w:color="FFFFFF" w:fill="auto"/>
        <w:autoSpaceDN w:val="0"/>
        <w:spacing w:line="540" w:lineRule="exact"/>
        <w:ind w:firstLine="640" w:firstLineChars="200"/>
        <w:rPr>
          <w:rFonts w:eastAsia="方正仿宋简体"/>
          <w:kern w:val="0"/>
          <w:sz w:val="32"/>
          <w:szCs w:val="32"/>
        </w:rPr>
      </w:pPr>
      <w:r>
        <w:rPr>
          <w:rFonts w:eastAsia="方正仿宋简体"/>
          <w:kern w:val="0"/>
          <w:sz w:val="32"/>
          <w:szCs w:val="32"/>
        </w:rPr>
        <w:t>如不服本处罚决定，</w:t>
      </w:r>
      <w:r>
        <w:rPr>
          <w:rFonts w:hint="eastAsia" w:eastAsia="方正仿宋简体"/>
          <w:kern w:val="0"/>
          <w:sz w:val="32"/>
          <w:szCs w:val="32"/>
        </w:rPr>
        <w:t>你公司</w:t>
      </w:r>
      <w:r>
        <w:rPr>
          <w:rFonts w:eastAsia="方正仿宋简体"/>
          <w:kern w:val="0"/>
          <w:sz w:val="32"/>
          <w:szCs w:val="32"/>
        </w:rPr>
        <w:t>可在接到本处罚决定书之日起六十日内向</w:t>
      </w:r>
      <w:bookmarkStart w:id="0" w:name="_GoBack"/>
      <w:bookmarkEnd w:id="0"/>
      <w:r>
        <w:rPr>
          <w:rFonts w:eastAsia="方正仿宋简体"/>
          <w:kern w:val="0"/>
          <w:sz w:val="32"/>
          <w:szCs w:val="32"/>
        </w:rPr>
        <w:t>阳江市人民政府申请复议，也可以在接到处罚决定书之日起六个月内直接向</w:t>
      </w:r>
      <w:r>
        <w:rPr>
          <w:rFonts w:hint="eastAsia" w:eastAsia="方正仿宋简体"/>
          <w:kern w:val="0"/>
          <w:sz w:val="32"/>
          <w:szCs w:val="32"/>
        </w:rPr>
        <w:t>阳江市阳东区人民法院起诉</w:t>
      </w:r>
      <w:r>
        <w:rPr>
          <w:rFonts w:eastAsia="方正仿宋简体"/>
          <w:kern w:val="0"/>
          <w:sz w:val="32"/>
          <w:szCs w:val="32"/>
        </w:rPr>
        <w:t>提起行政诉讼。</w:t>
      </w:r>
    </w:p>
    <w:p>
      <w:pPr>
        <w:widowControl/>
        <w:shd w:val="solid" w:color="FFFFFF" w:fill="auto"/>
        <w:autoSpaceDN w:val="0"/>
        <w:spacing w:line="540" w:lineRule="exact"/>
        <w:ind w:firstLine="640" w:firstLineChars="200"/>
        <w:rPr>
          <w:rFonts w:eastAsia="方正仿宋简体"/>
          <w:kern w:val="0"/>
          <w:sz w:val="32"/>
          <w:szCs w:val="32"/>
        </w:rPr>
      </w:pPr>
      <w:r>
        <w:rPr>
          <w:rFonts w:eastAsia="方正仿宋简体"/>
          <w:kern w:val="0"/>
          <w:sz w:val="32"/>
          <w:szCs w:val="32"/>
        </w:rPr>
        <w:t>申请行政复议或者提起行政诉讼，不停止行政处罚决定的执行。逾期不申请行政复议，也不向人民法院提起行政诉讼，又不履行本处罚决定的，</w:t>
      </w:r>
      <w:r>
        <w:rPr>
          <w:rFonts w:hint="eastAsia" w:eastAsia="方正仿宋简体"/>
          <w:kern w:val="0"/>
          <w:sz w:val="32"/>
          <w:szCs w:val="32"/>
        </w:rPr>
        <w:t>经催告后仍未履行义务的，依据《中华人民共和国行政强制法》第五十四条的规定，我局将依法申请人民法院强制执行。</w:t>
      </w:r>
    </w:p>
    <w:p>
      <w:pPr>
        <w:widowControl/>
        <w:shd w:val="solid" w:color="FFFFFF" w:fill="auto"/>
        <w:autoSpaceDN w:val="0"/>
        <w:spacing w:line="540" w:lineRule="exact"/>
        <w:ind w:firstLine="640" w:firstLineChars="200"/>
        <w:rPr>
          <w:rFonts w:eastAsia="方正仿宋简体"/>
          <w:kern w:val="0"/>
          <w:sz w:val="32"/>
          <w:szCs w:val="32"/>
        </w:rPr>
      </w:pPr>
    </w:p>
    <w:p>
      <w:pPr>
        <w:widowControl/>
        <w:shd w:val="solid" w:color="FFFFFF" w:fill="auto"/>
        <w:autoSpaceDN w:val="0"/>
        <w:spacing w:line="540" w:lineRule="exact"/>
        <w:ind w:firstLine="640" w:firstLineChars="200"/>
        <w:rPr>
          <w:rFonts w:eastAsia="方正仿宋简体"/>
          <w:kern w:val="0"/>
          <w:sz w:val="32"/>
          <w:szCs w:val="32"/>
        </w:rPr>
      </w:pPr>
    </w:p>
    <w:p>
      <w:pPr>
        <w:widowControl/>
        <w:shd w:val="solid" w:color="FFFFFF" w:fill="auto"/>
        <w:autoSpaceDN w:val="0"/>
        <w:spacing w:line="540" w:lineRule="exact"/>
        <w:ind w:firstLine="640" w:firstLineChars="200"/>
        <w:jc w:val="right"/>
        <w:rPr>
          <w:rFonts w:eastAsia="方正仿宋简体"/>
          <w:kern w:val="0"/>
          <w:sz w:val="32"/>
          <w:szCs w:val="32"/>
        </w:rPr>
      </w:pPr>
      <w:r>
        <w:rPr>
          <w:rFonts w:hint="eastAsia" w:eastAsia="方正仿宋简体"/>
          <w:kern w:val="0"/>
          <w:sz w:val="32"/>
          <w:szCs w:val="32"/>
        </w:rPr>
        <w:t xml:space="preserve"> 阳江市生态环境局</w:t>
      </w:r>
    </w:p>
    <w:p>
      <w:pPr>
        <w:autoSpaceDE w:val="0"/>
        <w:autoSpaceDN w:val="0"/>
        <w:adjustRightInd w:val="0"/>
        <w:spacing w:line="560" w:lineRule="exact"/>
        <w:ind w:firstLine="640" w:firstLineChars="200"/>
        <w:jc w:val="right"/>
        <w:rPr>
          <w:rFonts w:eastAsia="方正仿宋简体"/>
          <w:kern w:val="0"/>
          <w:sz w:val="32"/>
          <w:szCs w:val="32"/>
        </w:rPr>
      </w:pPr>
      <w:r>
        <w:rPr>
          <w:rFonts w:eastAsia="方正仿宋简体"/>
          <w:kern w:val="0"/>
          <w:sz w:val="32"/>
          <w:szCs w:val="32"/>
        </w:rPr>
        <w:t>20</w:t>
      </w:r>
      <w:r>
        <w:rPr>
          <w:rFonts w:hint="eastAsia" w:eastAsia="方正仿宋简体"/>
          <w:kern w:val="0"/>
          <w:sz w:val="32"/>
          <w:szCs w:val="32"/>
        </w:rPr>
        <w:t>21年</w:t>
      </w:r>
      <w:r>
        <w:rPr>
          <w:rFonts w:hint="eastAsia" w:eastAsia="方正仿宋简体"/>
          <w:kern w:val="0"/>
          <w:sz w:val="32"/>
          <w:szCs w:val="32"/>
          <w:lang w:val="en-US" w:eastAsia="zh-CN"/>
        </w:rPr>
        <w:t>6</w:t>
      </w:r>
      <w:r>
        <w:rPr>
          <w:rFonts w:hint="eastAsia" w:eastAsia="方正仿宋简体"/>
          <w:kern w:val="0"/>
          <w:sz w:val="32"/>
          <w:szCs w:val="32"/>
        </w:rPr>
        <w:t>月</w:t>
      </w:r>
      <w:r>
        <w:rPr>
          <w:rFonts w:hint="eastAsia" w:eastAsia="方正仿宋简体"/>
          <w:kern w:val="0"/>
          <w:sz w:val="32"/>
          <w:szCs w:val="32"/>
          <w:lang w:val="en-US" w:eastAsia="zh-CN"/>
        </w:rPr>
        <w:t>7</w:t>
      </w:r>
      <w:r>
        <w:rPr>
          <w:rFonts w:hint="eastAsia" w:eastAsia="方正仿宋简体"/>
          <w:kern w:val="0"/>
          <w:sz w:val="32"/>
          <w:szCs w:val="32"/>
        </w:rPr>
        <w:t>日</w:t>
      </w:r>
    </w:p>
    <w:p>
      <w:pPr>
        <w:autoSpaceDE w:val="0"/>
        <w:autoSpaceDN w:val="0"/>
        <w:adjustRightInd w:val="0"/>
        <w:spacing w:line="560" w:lineRule="exact"/>
        <w:ind w:firstLine="640" w:firstLineChars="200"/>
        <w:rPr>
          <w:rFonts w:eastAsia="方正仿宋简体"/>
          <w:kern w:val="0"/>
          <w:sz w:val="32"/>
          <w:szCs w:val="32"/>
        </w:rPr>
      </w:pPr>
    </w:p>
    <w:p>
      <w:pPr>
        <w:widowControl/>
        <w:spacing w:line="579" w:lineRule="exact"/>
        <w:rPr>
          <w:rFonts w:eastAsia="方正仿宋简体"/>
          <w:sz w:val="32"/>
          <w:szCs w:val="32"/>
        </w:rPr>
      </w:pPr>
    </w:p>
    <w:p>
      <w:pPr>
        <w:spacing w:line="579" w:lineRule="exact"/>
        <w:rPr>
          <w:rFonts w:eastAsia="方正仿宋简体"/>
          <w:sz w:val="32"/>
          <w:szCs w:val="32"/>
        </w:rPr>
      </w:pPr>
    </w:p>
    <w:p>
      <w:pPr>
        <w:spacing w:line="579" w:lineRule="exact"/>
        <w:rPr>
          <w:rFonts w:eastAsia="方正仿宋简体"/>
          <w:sz w:val="32"/>
          <w:szCs w:val="32"/>
        </w:rPr>
      </w:pPr>
    </w:p>
    <w:p>
      <w:pPr>
        <w:spacing w:line="579" w:lineRule="exact"/>
        <w:jc w:val="center"/>
      </w:pPr>
      <w:r>
        <w:rPr>
          <w:rFonts w:hint="eastAsia" w:eastAsia="方正仿宋简体"/>
          <w:sz w:val="32"/>
          <w:szCs w:val="32"/>
        </w:rPr>
        <w:t xml:space="preserve">                                      </w:t>
      </w:r>
    </w:p>
    <w:p>
      <w:pPr>
        <w:jc w:val="right"/>
      </w:pPr>
    </w:p>
    <w:sectPr>
      <w:footerReference r:id="rId3" w:type="default"/>
      <w:pgSz w:w="11906" w:h="16838"/>
      <w:pgMar w:top="2098" w:right="1474" w:bottom="124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0A258E85-FDD7-43EF-B229-DCE367F0A195}"/>
  </w:font>
  <w:font w:name="Arial">
    <w:panose1 w:val="020B0604020202020204"/>
    <w:charset w:val="01"/>
    <w:family w:val="swiss"/>
    <w:pitch w:val="default"/>
    <w:sig w:usb0="E0002EFF" w:usb1="C000785B" w:usb2="00000009" w:usb3="00000000" w:csb0="400001FF" w:csb1="FFFF0000"/>
    <w:embedRegular r:id="rId2" w:fontKey="{FFE1EB54-646F-4DFB-A916-40E81764A0A4}"/>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3" w:fontKey="{D2FB4574-89C9-4CBA-AD0E-8636257E2D26}"/>
  </w:font>
  <w:font w:name="Symbol">
    <w:panose1 w:val="05050102010706020507"/>
    <w:charset w:val="02"/>
    <w:family w:val="roman"/>
    <w:pitch w:val="default"/>
    <w:sig w:usb0="00000000" w:usb1="00000000" w:usb2="00000000" w:usb3="00000000" w:csb0="80000000" w:csb1="00000000"/>
    <w:embedRegular r:id="rId4" w:fontKey="{749869BA-BF8C-451A-BB52-16FF62842FE5}"/>
  </w:font>
  <w:font w:name="Calibri">
    <w:panose1 w:val="020F0502020204030204"/>
    <w:charset w:val="00"/>
    <w:family w:val="swiss"/>
    <w:pitch w:val="default"/>
    <w:sig w:usb0="E0002AFF" w:usb1="C000247B" w:usb2="00000009" w:usb3="00000000" w:csb0="200001FF" w:csb1="00000000"/>
    <w:embedRegular r:id="rId5" w:fontKey="{B6725397-762D-4D8F-BA4E-00ABBFCDDA0E}"/>
  </w:font>
  <w:font w:name="方正小标宋简体">
    <w:panose1 w:val="02000000000000000000"/>
    <w:charset w:val="86"/>
    <w:family w:val="auto"/>
    <w:pitch w:val="default"/>
    <w:sig w:usb0="00000001" w:usb1="08000000" w:usb2="00000000" w:usb3="00000000" w:csb0="00040000" w:csb1="00000000"/>
    <w:embedRegular r:id="rId6" w:fontKey="{F662F485-6471-477A-9DE0-AB0D1381B941}"/>
  </w:font>
  <w:font w:name="方正仿宋简体">
    <w:panose1 w:val="02000000000000000000"/>
    <w:charset w:val="86"/>
    <w:family w:val="auto"/>
    <w:pitch w:val="default"/>
    <w:sig w:usb0="A00002BF" w:usb1="184F6CFA" w:usb2="00000012" w:usb3="00000000" w:csb0="00040001" w:csb1="00000000"/>
    <w:embedRegular r:id="rId7" w:fontKey="{0875873F-C94F-4091-A081-7AADD5A30FD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w:t>
    </w:r>
  </w:p>
  <w:p>
    <w:pPr>
      <w:pStyle w:val="3"/>
      <w:rPr>
        <w:szCs w:val="21"/>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6B7"/>
    <w:rsid w:val="000104D9"/>
    <w:rsid w:val="000108FE"/>
    <w:rsid w:val="000128A8"/>
    <w:rsid w:val="0001492D"/>
    <w:rsid w:val="000225C8"/>
    <w:rsid w:val="00031CBA"/>
    <w:rsid w:val="000627BD"/>
    <w:rsid w:val="00070001"/>
    <w:rsid w:val="0007616B"/>
    <w:rsid w:val="00081EAB"/>
    <w:rsid w:val="000849C4"/>
    <w:rsid w:val="0009036F"/>
    <w:rsid w:val="00097D26"/>
    <w:rsid w:val="000A5CA7"/>
    <w:rsid w:val="000B5452"/>
    <w:rsid w:val="000B6D1D"/>
    <w:rsid w:val="000C0A6C"/>
    <w:rsid w:val="000D4C71"/>
    <w:rsid w:val="00101C22"/>
    <w:rsid w:val="00104A76"/>
    <w:rsid w:val="001A06F4"/>
    <w:rsid w:val="001A4D22"/>
    <w:rsid w:val="001B2C52"/>
    <w:rsid w:val="001B6DF8"/>
    <w:rsid w:val="001E0421"/>
    <w:rsid w:val="001E5227"/>
    <w:rsid w:val="001E541B"/>
    <w:rsid w:val="0021343C"/>
    <w:rsid w:val="00214D87"/>
    <w:rsid w:val="00216A56"/>
    <w:rsid w:val="002318F8"/>
    <w:rsid w:val="0024042C"/>
    <w:rsid w:val="00242F32"/>
    <w:rsid w:val="00247AA0"/>
    <w:rsid w:val="002507A9"/>
    <w:rsid w:val="00266F33"/>
    <w:rsid w:val="00267F67"/>
    <w:rsid w:val="002815EA"/>
    <w:rsid w:val="0029079F"/>
    <w:rsid w:val="002937C2"/>
    <w:rsid w:val="002A6341"/>
    <w:rsid w:val="002C27BF"/>
    <w:rsid w:val="002C7C42"/>
    <w:rsid w:val="002E7820"/>
    <w:rsid w:val="002F0DF9"/>
    <w:rsid w:val="002F40D4"/>
    <w:rsid w:val="00310B16"/>
    <w:rsid w:val="00335E0C"/>
    <w:rsid w:val="00347570"/>
    <w:rsid w:val="00355456"/>
    <w:rsid w:val="003562CC"/>
    <w:rsid w:val="00372B6A"/>
    <w:rsid w:val="003B386F"/>
    <w:rsid w:val="003B7580"/>
    <w:rsid w:val="003C20A8"/>
    <w:rsid w:val="003C5726"/>
    <w:rsid w:val="003E5C72"/>
    <w:rsid w:val="003E5F2C"/>
    <w:rsid w:val="003F358C"/>
    <w:rsid w:val="00415A06"/>
    <w:rsid w:val="00430F6F"/>
    <w:rsid w:val="00440D13"/>
    <w:rsid w:val="00447CD0"/>
    <w:rsid w:val="00466F80"/>
    <w:rsid w:val="00474C41"/>
    <w:rsid w:val="0047583B"/>
    <w:rsid w:val="00483028"/>
    <w:rsid w:val="0048404C"/>
    <w:rsid w:val="004850EC"/>
    <w:rsid w:val="00496BC8"/>
    <w:rsid w:val="004A2E93"/>
    <w:rsid w:val="004E6AA9"/>
    <w:rsid w:val="004F01AF"/>
    <w:rsid w:val="004F10FC"/>
    <w:rsid w:val="004F119A"/>
    <w:rsid w:val="0050267C"/>
    <w:rsid w:val="00505E1C"/>
    <w:rsid w:val="005178FE"/>
    <w:rsid w:val="00534C11"/>
    <w:rsid w:val="0054726D"/>
    <w:rsid w:val="00552497"/>
    <w:rsid w:val="00556172"/>
    <w:rsid w:val="00561F67"/>
    <w:rsid w:val="0056347F"/>
    <w:rsid w:val="00570AD5"/>
    <w:rsid w:val="005840B9"/>
    <w:rsid w:val="005844BA"/>
    <w:rsid w:val="0058544C"/>
    <w:rsid w:val="00591F17"/>
    <w:rsid w:val="005A095F"/>
    <w:rsid w:val="005A19FA"/>
    <w:rsid w:val="005A5A09"/>
    <w:rsid w:val="005B170B"/>
    <w:rsid w:val="005B2237"/>
    <w:rsid w:val="005C0D23"/>
    <w:rsid w:val="005C728F"/>
    <w:rsid w:val="005D19DE"/>
    <w:rsid w:val="005D6DA3"/>
    <w:rsid w:val="005E40E1"/>
    <w:rsid w:val="005E4468"/>
    <w:rsid w:val="005F22BB"/>
    <w:rsid w:val="005F5D42"/>
    <w:rsid w:val="006079B6"/>
    <w:rsid w:val="00613195"/>
    <w:rsid w:val="00622F01"/>
    <w:rsid w:val="0062704D"/>
    <w:rsid w:val="00641A1D"/>
    <w:rsid w:val="006424FD"/>
    <w:rsid w:val="006708FA"/>
    <w:rsid w:val="00695CF6"/>
    <w:rsid w:val="00696FAB"/>
    <w:rsid w:val="006B5E31"/>
    <w:rsid w:val="006B7A9B"/>
    <w:rsid w:val="006C633C"/>
    <w:rsid w:val="006D70E9"/>
    <w:rsid w:val="006E3849"/>
    <w:rsid w:val="006E6842"/>
    <w:rsid w:val="006F0CA1"/>
    <w:rsid w:val="006F662B"/>
    <w:rsid w:val="006F7492"/>
    <w:rsid w:val="006F7C81"/>
    <w:rsid w:val="0070442B"/>
    <w:rsid w:val="00706907"/>
    <w:rsid w:val="0071048E"/>
    <w:rsid w:val="00724717"/>
    <w:rsid w:val="00724BD3"/>
    <w:rsid w:val="00737EA7"/>
    <w:rsid w:val="00743BBC"/>
    <w:rsid w:val="00744651"/>
    <w:rsid w:val="007451AC"/>
    <w:rsid w:val="00756A49"/>
    <w:rsid w:val="00772583"/>
    <w:rsid w:val="0079466C"/>
    <w:rsid w:val="007A165C"/>
    <w:rsid w:val="007A718E"/>
    <w:rsid w:val="007B0EC0"/>
    <w:rsid w:val="007B4663"/>
    <w:rsid w:val="007C3268"/>
    <w:rsid w:val="007D1CCA"/>
    <w:rsid w:val="007E0E33"/>
    <w:rsid w:val="007E428A"/>
    <w:rsid w:val="007E6BDF"/>
    <w:rsid w:val="007F1582"/>
    <w:rsid w:val="007F373F"/>
    <w:rsid w:val="007F5D78"/>
    <w:rsid w:val="00804186"/>
    <w:rsid w:val="0082740D"/>
    <w:rsid w:val="008442BF"/>
    <w:rsid w:val="008458E7"/>
    <w:rsid w:val="00850591"/>
    <w:rsid w:val="00853366"/>
    <w:rsid w:val="00853A27"/>
    <w:rsid w:val="00860B3F"/>
    <w:rsid w:val="008650E4"/>
    <w:rsid w:val="00897F82"/>
    <w:rsid w:val="008B37A9"/>
    <w:rsid w:val="008C3559"/>
    <w:rsid w:val="008F5321"/>
    <w:rsid w:val="00900262"/>
    <w:rsid w:val="009039D8"/>
    <w:rsid w:val="00906D6E"/>
    <w:rsid w:val="0091258C"/>
    <w:rsid w:val="00935BE4"/>
    <w:rsid w:val="00936A49"/>
    <w:rsid w:val="0094110C"/>
    <w:rsid w:val="0094124D"/>
    <w:rsid w:val="009420B4"/>
    <w:rsid w:val="009A09AA"/>
    <w:rsid w:val="009A3FAE"/>
    <w:rsid w:val="009D6BF6"/>
    <w:rsid w:val="009E1A48"/>
    <w:rsid w:val="00A07D2F"/>
    <w:rsid w:val="00A16798"/>
    <w:rsid w:val="00A17946"/>
    <w:rsid w:val="00A33190"/>
    <w:rsid w:val="00A53CD1"/>
    <w:rsid w:val="00A56452"/>
    <w:rsid w:val="00A60257"/>
    <w:rsid w:val="00A67857"/>
    <w:rsid w:val="00A71EA5"/>
    <w:rsid w:val="00A7205C"/>
    <w:rsid w:val="00A73096"/>
    <w:rsid w:val="00A76691"/>
    <w:rsid w:val="00A9483D"/>
    <w:rsid w:val="00AA4F5E"/>
    <w:rsid w:val="00AD50AC"/>
    <w:rsid w:val="00AE3A62"/>
    <w:rsid w:val="00AE43B6"/>
    <w:rsid w:val="00B0196E"/>
    <w:rsid w:val="00B04080"/>
    <w:rsid w:val="00B11F4B"/>
    <w:rsid w:val="00B12A44"/>
    <w:rsid w:val="00B1438B"/>
    <w:rsid w:val="00B20FF9"/>
    <w:rsid w:val="00B224EA"/>
    <w:rsid w:val="00B41388"/>
    <w:rsid w:val="00B43696"/>
    <w:rsid w:val="00B57FA6"/>
    <w:rsid w:val="00B60F24"/>
    <w:rsid w:val="00B7265D"/>
    <w:rsid w:val="00B866F9"/>
    <w:rsid w:val="00BC1544"/>
    <w:rsid w:val="00BD008C"/>
    <w:rsid w:val="00BD153D"/>
    <w:rsid w:val="00BE4179"/>
    <w:rsid w:val="00C0061A"/>
    <w:rsid w:val="00C107B7"/>
    <w:rsid w:val="00C109A4"/>
    <w:rsid w:val="00C123FE"/>
    <w:rsid w:val="00C302CD"/>
    <w:rsid w:val="00C400E4"/>
    <w:rsid w:val="00C42A9C"/>
    <w:rsid w:val="00C62918"/>
    <w:rsid w:val="00C666F9"/>
    <w:rsid w:val="00C95179"/>
    <w:rsid w:val="00C97E49"/>
    <w:rsid w:val="00CA35C5"/>
    <w:rsid w:val="00CC04AE"/>
    <w:rsid w:val="00CD0350"/>
    <w:rsid w:val="00CD39F3"/>
    <w:rsid w:val="00D02A15"/>
    <w:rsid w:val="00D268FF"/>
    <w:rsid w:val="00D27F61"/>
    <w:rsid w:val="00D320E6"/>
    <w:rsid w:val="00D40E77"/>
    <w:rsid w:val="00D57685"/>
    <w:rsid w:val="00D62A27"/>
    <w:rsid w:val="00D73CA6"/>
    <w:rsid w:val="00D9269E"/>
    <w:rsid w:val="00DA1B43"/>
    <w:rsid w:val="00DD0A6C"/>
    <w:rsid w:val="00DF464D"/>
    <w:rsid w:val="00E16979"/>
    <w:rsid w:val="00E27CC3"/>
    <w:rsid w:val="00E311A0"/>
    <w:rsid w:val="00E37C18"/>
    <w:rsid w:val="00E45126"/>
    <w:rsid w:val="00E566B7"/>
    <w:rsid w:val="00E86D33"/>
    <w:rsid w:val="00E87B2A"/>
    <w:rsid w:val="00E91D15"/>
    <w:rsid w:val="00E932D0"/>
    <w:rsid w:val="00EA7666"/>
    <w:rsid w:val="00EB0B45"/>
    <w:rsid w:val="00EB387A"/>
    <w:rsid w:val="00F07FAD"/>
    <w:rsid w:val="00F30AAC"/>
    <w:rsid w:val="00F575DB"/>
    <w:rsid w:val="00F57CE9"/>
    <w:rsid w:val="00F80F4C"/>
    <w:rsid w:val="00F84896"/>
    <w:rsid w:val="00F91B9F"/>
    <w:rsid w:val="00FB00D0"/>
    <w:rsid w:val="00FF2484"/>
    <w:rsid w:val="03BE7ED5"/>
    <w:rsid w:val="0E1C22F3"/>
    <w:rsid w:val="214203A8"/>
    <w:rsid w:val="36D25D86"/>
    <w:rsid w:val="3F1D2DEA"/>
    <w:rsid w:val="58724234"/>
    <w:rsid w:val="5D404D61"/>
    <w:rsid w:val="5DE45F36"/>
    <w:rsid w:val="5FC35FA6"/>
    <w:rsid w:val="65CF541F"/>
    <w:rsid w:val="7BAF64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9"/>
    <w:qFormat/>
    <w:uiPriority w:val="0"/>
    <w:pPr>
      <w:jc w:val="left"/>
    </w:p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文字 Char"/>
    <w:basedOn w:val="6"/>
    <w:link w:val="2"/>
    <w:qFormat/>
    <w:uiPriority w:val="0"/>
    <w:rPr>
      <w:rFonts w:ascii="Times New Roman" w:hAnsi="Times New Roman" w:eastAsia="宋体" w:cs="Times New Roman"/>
      <w:szCs w:val="24"/>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1553</Words>
  <Characters>169</Characters>
  <Lines>1</Lines>
  <Paragraphs>3</Paragraphs>
  <TotalTime>124</TotalTime>
  <ScaleCrop>false</ScaleCrop>
  <LinksUpToDate>false</LinksUpToDate>
  <CharactersWithSpaces>1719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2020-04-09T09:10:00Z</dcterms:created>
  <dc:creator>Administrator</dc:creator>
  <cp:lastModifiedBy></cp:lastModifiedBy>
  <cp:lastPrinted>2020-08-06T06:40:00Z</cp:lastPrinted>
  <dcterms:modified xsi:type="dcterms:W3CDTF">2021-06-07T09:44:53Z</dcterms:modified>
  <cp:revision>140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A4BBA5ED41124C08A334A72BBE620F78</vt:lpwstr>
  </property>
  <property fmtid="{D5CDD505-2E9C-101B-9397-08002B2CF9AE}" pid="4" name="KSOSaveFontToCloudKey">
    <vt:lpwstr>231051281_embed</vt:lpwstr>
  </property>
</Properties>
</file>