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阳江市科学技术局关于落实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“百县千镇万村高质量发展工程”改革创新任务的措施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contextualSpacing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根据市委深改委工作安排，要围绕《阳江市“百千万工程”2023年重点改革任务清单》推动科技重点领域和关键环节改革创新，坚决破除影响和制约发展的堵点痛点难点问题，以改革开路推动实施百千万工作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603"/>
        </w:tabs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一、推进科技体制改革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（一）完善科技政策，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出台《阳江市科技支撑“百县千镇万村高质量发展工程”促进城乡区域协调发展若干措施》，制定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《阳江市科技项目结题验收实施细则》《阳江市科技专家库管理办法》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《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阳江市“揭榜挂帅”项目实施细则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》《阳江市科技计划项目形式审查实施细则》《阳江市科技局科技计划项目管理规程》等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科技项目管理规范性文件，印发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《阳江市新型研发机构的管理办法》《阳江市工程技术研究中心管理办法》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等平台管理类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规范性文件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。</w:t>
      </w:r>
      <w:r>
        <w:rPr>
          <w:rFonts w:hint="eastAsia" w:eastAsia="方正仿宋简体" w:cs="Times New Roman"/>
          <w:sz w:val="32"/>
          <w:szCs w:val="32"/>
          <w:lang w:eastAsia="zh-CN"/>
        </w:rPr>
        <w:t>（责任科室：综合规划科、产学研结合与农业科技科）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（二）改革完善财政科研经费使用管理。将原有的12项预算编制科目精简合为设备费、业务费、直接人力资源成本费三大类，简化预算分配与管理。下放预算调剂权，在项目总预算不变的情况下，进一步下放科技计划项目预算调剂权，通过设备费和间接费用均由项目承担单位按照实际需要自主调剂。将科研项目间接费用比例由原有的20%提高到30%等举措，改进科研经费管理，激发科研人员创新活力。</w:t>
      </w:r>
      <w:r>
        <w:rPr>
          <w:rFonts w:hint="eastAsia" w:eastAsia="方正仿宋简体" w:cs="Times New Roman"/>
          <w:color w:val="auto"/>
          <w:sz w:val="32"/>
          <w:szCs w:val="32"/>
          <w:lang w:val="en-US" w:eastAsia="zh-CN"/>
        </w:rPr>
        <w:t>（责任科室：综合规划科）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（三）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开展科技项目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财务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管理培训班，指导项目承担单位规范使用科技专项资金，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eastAsia="zh-CN"/>
        </w:rPr>
        <w:t>进一步提升科技专家库财务专家业务水平，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确保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资金使用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规范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。</w:t>
      </w:r>
      <w:r>
        <w:rPr>
          <w:rFonts w:hint="eastAsia" w:eastAsia="方正仿宋简体" w:cs="Times New Roman"/>
          <w:color w:val="auto"/>
          <w:sz w:val="32"/>
          <w:szCs w:val="32"/>
          <w:lang w:val="en-US" w:eastAsia="zh-CN"/>
        </w:rPr>
        <w:t>（责任科室：综合规划科）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contextualSpacing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、推动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高新技术企业发展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（四）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加强高新技术企业培育。加大创新主体培育力度，立足我市优势产业，培育一批拥有自主知识产权和核心技术的高新技术企业，引导一批创新能力较强、发展势头较好的中小企业成长，新增高新技术企业30家，科技型中小企业评价入库130家。</w:t>
      </w:r>
      <w:r>
        <w:rPr>
          <w:rFonts w:hint="eastAsia" w:eastAsia="方正仿宋简体" w:cs="Times New Roman"/>
          <w:color w:val="auto"/>
          <w:sz w:val="32"/>
          <w:szCs w:val="32"/>
          <w:lang w:val="en-US" w:eastAsia="zh-CN"/>
        </w:rPr>
        <w:t>（责任科室：高新技术科）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contextualSpacing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eastAsia="zh-CN"/>
        </w:rPr>
        <w:t>（五）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多形式开展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eastAsia="zh-CN"/>
        </w:rPr>
        <w:t>高企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政策宣贯活动。开展科技下乡、业务培训班、一企一议、互联互通等系列活动，让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eastAsia="zh-CN"/>
        </w:rPr>
        <w:t>高企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政策走进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eastAsia="zh-CN"/>
        </w:rPr>
        <w:t>更多目标企业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。</w:t>
      </w:r>
      <w:r>
        <w:rPr>
          <w:rFonts w:hint="eastAsia" w:eastAsia="方正仿宋简体" w:cs="Times New Roman"/>
          <w:color w:val="auto"/>
          <w:sz w:val="32"/>
          <w:szCs w:val="32"/>
          <w:lang w:val="en-US" w:eastAsia="zh-CN"/>
        </w:rPr>
        <w:t>（责任科室：高新技术科）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contextualSpacing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建设</w:t>
      </w:r>
      <w:r>
        <w:rPr>
          <w:rFonts w:hint="eastAsia" w:ascii="黑体" w:hAnsi="黑体" w:eastAsia="黑体" w:cs="黑体"/>
          <w:sz w:val="32"/>
          <w:szCs w:val="32"/>
        </w:rPr>
        <w:t>科技人才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队伍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FF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（六）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大力引进“高精尖缺”人才及团队，加大本土人才培养力度。积极主动融入粤港澳大湾区创新体系，实施更加开放包容、互惠互利的科技合作，引进一批高层次科技人才及创新团队。抓好阳江市五金刀剪与合金材料重点产业人才振兴计划实施工作，引进高水平的创新团队3-4个、企业科技特派员4-6个。</w:t>
      </w:r>
      <w:r>
        <w:rPr>
          <w:rFonts w:hint="eastAsia" w:eastAsia="方正仿宋简体" w:cs="Times New Roman"/>
          <w:color w:val="auto"/>
          <w:sz w:val="32"/>
          <w:szCs w:val="32"/>
          <w:lang w:val="en-US" w:eastAsia="zh-CN"/>
        </w:rPr>
        <w:t>（责任科室：办公室）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eastAsia="zh-CN"/>
        </w:rPr>
        <w:t>（七）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出台《阳江市高层次人才“双聘制”管理办法（试行）》，完善互聘双聘机制，鼓励省实验室、海大阳江校区、阳江职院、华南理工大学阳江研究院等单位实行双聘机制，鼓励人才双向流动，培育一批具有浓郁本土特色的人才。拓宽引才渠道，组织开展科技人才交流活动，带队到各相关高校、科研机构考察，为企业引进科技人才牵线搭桥。</w:t>
      </w:r>
      <w:r>
        <w:rPr>
          <w:rFonts w:hint="eastAsia" w:eastAsia="方正仿宋简体" w:cs="Times New Roman"/>
          <w:color w:val="auto"/>
          <w:sz w:val="32"/>
          <w:szCs w:val="32"/>
          <w:lang w:val="en-US" w:eastAsia="zh-CN"/>
        </w:rPr>
        <w:t>（责任科室：社会发展与实验室科）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eastAsia="zh-CN"/>
        </w:rPr>
        <w:t>（八）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推进“百千万工程”深入开展，持续推动科技特派员下乡服务，在乡镇示范推广一批新品种、新技术，解决我市乡镇农业产业技术难题，力促农业提质增效、农户增产增收。</w:t>
      </w:r>
      <w:r>
        <w:rPr>
          <w:rFonts w:hint="eastAsia" w:eastAsia="方正仿宋简体" w:cs="Times New Roman"/>
          <w:color w:val="auto"/>
          <w:sz w:val="32"/>
          <w:szCs w:val="32"/>
          <w:lang w:val="en-US" w:eastAsia="zh-CN"/>
        </w:rPr>
        <w:t>（责任科室：</w:t>
      </w:r>
      <w:r>
        <w:rPr>
          <w:rFonts w:hint="eastAsia" w:eastAsia="方正仿宋简体" w:cs="Times New Roman"/>
          <w:sz w:val="32"/>
          <w:szCs w:val="32"/>
          <w:lang w:eastAsia="zh-CN"/>
        </w:rPr>
        <w:t>产学研结合与农业科技科</w:t>
      </w:r>
      <w:r>
        <w:rPr>
          <w:rFonts w:hint="eastAsia" w:eastAsia="方正仿宋简体" w:cs="Times New Roman"/>
          <w:color w:val="auto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四、合理布局公共技术服务平台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color w:val="auto"/>
          <w:kern w:val="2"/>
          <w:sz w:val="32"/>
          <w:szCs w:val="32"/>
          <w:lang w:val="en-US" w:eastAsia="zh-CN" w:bidi="ar-SA"/>
        </w:rPr>
        <w:t>（九）推动阳江合金材料实验室、阳江海上风电实验室、阳江市五金刀剪产业技术研究院、阳江市中乌巴顿技术研究院围绕产业发展需求，联合企业开展科研合作，为企业提供研发设计、技术咨询等服务。</w:t>
      </w:r>
      <w:r>
        <w:rPr>
          <w:rFonts w:hint="eastAsia" w:eastAsia="方正仿宋简体" w:cs="Times New Roman"/>
          <w:color w:val="auto"/>
          <w:sz w:val="32"/>
          <w:szCs w:val="32"/>
          <w:lang w:val="en-US" w:eastAsia="zh-CN"/>
        </w:rPr>
        <w:t>（责任科室：社会发展与实验室科、</w:t>
      </w:r>
      <w:r>
        <w:rPr>
          <w:rFonts w:hint="eastAsia" w:eastAsia="方正仿宋简体" w:cs="Times New Roman"/>
          <w:sz w:val="32"/>
          <w:szCs w:val="32"/>
          <w:lang w:eastAsia="zh-CN"/>
        </w:rPr>
        <w:t>产学研结合与农业科技科</w:t>
      </w:r>
      <w:r>
        <w:rPr>
          <w:rFonts w:hint="eastAsia" w:eastAsia="方正仿宋简体" w:cs="Times New Roman"/>
          <w:color w:val="auto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五、协助创新主体共享创新资源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（十）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大力引进大湾区高端创新资源，鼓励我市企业与大湾区高校、科研院所和行业龙头企业合作联合开展产业重大共性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技术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攻关，通过科技项目予以支持，推动粤港澳大湾区优秀科技成果在我市转化和推广应用。</w:t>
      </w:r>
      <w:r>
        <w:rPr>
          <w:rFonts w:hint="default" w:ascii="Times New Roman" w:hAnsi="Times New Roman" w:eastAsia="方正仿宋简体" w:cs="Times New Roman"/>
          <w:color w:val="auto"/>
          <w:kern w:val="2"/>
          <w:sz w:val="32"/>
          <w:szCs w:val="32"/>
          <w:lang w:val="en-US" w:eastAsia="zh-CN" w:bidi="ar-SA"/>
        </w:rPr>
        <w:t>同时，加强科技项目“揭榜挂帅”。在合金材料、装备制造、绿色能源、五金刀剪、食品加工等领域实施“揭榜挂帅”项目，进一步推动英雄不问出处，谁有能力谁揭榜，加大引进高端科研团队力度。同时探索试行成果转化类项目“揭榜挂帅”，进一步推动科研成果在阳江转化落地。</w:t>
      </w:r>
      <w:r>
        <w:rPr>
          <w:rFonts w:hint="eastAsia" w:eastAsia="方正仿宋简体" w:cs="Times New Roman"/>
          <w:sz w:val="32"/>
          <w:szCs w:val="32"/>
          <w:lang w:eastAsia="zh-CN"/>
        </w:rPr>
        <w:t>（责任科室：产学研结合与农业科技科、综合规划科）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（十一）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对接大湾区高校、科研机构人才资源，吸引更多急需紧缺高层次人才和团队到阳江创新创业，助推阳江产业发展。</w:t>
      </w:r>
      <w:r>
        <w:rPr>
          <w:rFonts w:hint="eastAsia" w:eastAsia="方正仿宋简体" w:cs="Times New Roman"/>
          <w:sz w:val="32"/>
          <w:szCs w:val="32"/>
          <w:lang w:eastAsia="zh-CN"/>
        </w:rPr>
        <w:t>（责任科室：</w:t>
      </w:r>
      <w:bookmarkStart w:id="0" w:name="_GoBack"/>
      <w:r>
        <w:rPr>
          <w:rFonts w:hint="eastAsia" w:eastAsia="方正仿宋简体" w:cs="Times New Roman"/>
          <w:sz w:val="32"/>
          <w:szCs w:val="32"/>
          <w:lang w:eastAsia="zh-CN"/>
        </w:rPr>
        <w:t>产学研结合与农业科技科、办公室</w:t>
      </w:r>
      <w:bookmarkEnd w:id="0"/>
      <w:r>
        <w:rPr>
          <w:rFonts w:hint="eastAsia" w:eastAsia="方正仿宋简体" w:cs="Times New Roman"/>
          <w:sz w:val="32"/>
          <w:szCs w:val="32"/>
          <w:lang w:eastAsia="zh-CN"/>
        </w:rPr>
        <w:t>）</w:t>
      </w:r>
    </w:p>
    <w:p/>
    <w:sectPr>
      <w:footerReference r:id="rId3" w:type="default"/>
      <w:pgSz w:w="11906" w:h="16838"/>
      <w:pgMar w:top="2098" w:right="1474" w:bottom="1928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4ODM3N2VmZjkxMmNmNzc4NDYzODIzMWFmMTQ3NmIifQ=="/>
  </w:docVars>
  <w:rsids>
    <w:rsidRoot w:val="19EB454E"/>
    <w:rsid w:val="071A149F"/>
    <w:rsid w:val="19EB454E"/>
    <w:rsid w:val="1CB45DA0"/>
    <w:rsid w:val="34A26001"/>
    <w:rsid w:val="40D42B10"/>
    <w:rsid w:val="46490C92"/>
    <w:rsid w:val="49CB404D"/>
    <w:rsid w:val="67892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6"/>
    <w:basedOn w:val="3"/>
    <w:next w:val="1"/>
    <w:qFormat/>
    <w:uiPriority w:val="9"/>
    <w:pPr>
      <w:spacing w:line="317" w:lineRule="auto"/>
      <w:jc w:val="center"/>
      <w:outlineLvl w:val="5"/>
    </w:pPr>
    <w:rPr>
      <w:rFonts w:eastAsia="仿宋"/>
      <w:b/>
      <w:color w:val="000000"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2"/>
    <w:basedOn w:val="1"/>
    <w:next w:val="1"/>
    <w:qFormat/>
    <w:uiPriority w:val="0"/>
    <w:pPr>
      <w:ind w:left="420" w:leftChars="200"/>
    </w:pPr>
    <w:rPr>
      <w:rFonts w:eastAsia="楷体_GB2312"/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_Style 5"/>
    <w:basedOn w:val="1"/>
    <w:qFormat/>
    <w:uiPriority w:val="0"/>
    <w:pPr>
      <w:ind w:firstLine="200" w:firstLineChars="200"/>
    </w:pPr>
    <w:rPr>
      <w:rFonts w:ascii="Times New Roman" w:hAnsi="Times New Roman" w:eastAsia="宋体" w:cs="黑体"/>
      <w:sz w:val="24"/>
      <w:szCs w:val="24"/>
    </w:rPr>
  </w:style>
  <w:style w:type="paragraph" w:customStyle="1" w:styleId="9">
    <w:name w:val="正文首行缩进 211"/>
    <w:basedOn w:val="1"/>
    <w:qFormat/>
    <w:uiPriority w:val="0"/>
    <w:pPr>
      <w:spacing w:line="360" w:lineRule="auto"/>
      <w:ind w:firstLine="420" w:firstLineChars="200"/>
    </w:pPr>
    <w:rPr>
      <w:rFonts w:hint="eastAsia" w:ascii="Times New Roman" w:hAnsi="Times New Roman" w:eastAsia="楷体_GB2312" w:cs="Times New Roman"/>
      <w:color w:val="000000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2023-10-31T05:10:00Z</dcterms:created>
  <dc:creator>姚彬彬</dc:creator>
  <cp:lastModifiedBy>轩灬辕剑</cp:lastModifiedBy>
  <dcterms:modified xsi:type="dcterms:W3CDTF">2023-11-03T07:54:07Z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46EE73950C7845D08C92913937085221_11</vt:lpwstr>
  </property>
</Properties>
</file>