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52BAC">
      <w:pPr>
        <w:rPr>
          <w:rFonts w:ascii="Times New Roman" w:eastAsia="黑体" w:hAnsi="Times New Roman" w:cs="Times New Roman"/>
          <w:sz w:val="32"/>
        </w:rPr>
      </w:pPr>
      <w:r>
        <w:rPr>
          <w:rFonts w:ascii="Times New Roman" w:eastAsia="黑体" w:hAnsi="Times New Roman" w:cs="Times New Roman" w:hint="eastAsia"/>
          <w:sz w:val="32"/>
        </w:rPr>
        <w:t>附件</w:t>
      </w:r>
    </w:p>
    <w:p w:rsidR="00000000" w:rsidRDefault="00852BAC">
      <w:pPr>
        <w:adjustRightInd w:val="0"/>
        <w:snapToGrid w:val="0"/>
        <w:spacing w:line="560" w:lineRule="atLeast"/>
        <w:jc w:val="center"/>
        <w:rPr>
          <w:rFonts w:ascii="方正小标宋简体" w:eastAsia="方正小标宋简体" w:hAnsi="方正小标宋简体" w:cs="Times New Roman" w:hint="eastAsia"/>
          <w:color w:val="000000"/>
          <w:sz w:val="44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36"/>
        </w:rPr>
        <w:t>阳江市</w:t>
      </w:r>
      <w:r>
        <w:rPr>
          <w:rFonts w:ascii="方正小标宋简体" w:eastAsia="方正小标宋简体" w:hAnsi="方正小标宋简体" w:cs="Times New Roman" w:hint="eastAsia"/>
          <w:color w:val="000000"/>
          <w:sz w:val="44"/>
          <w:szCs w:val="36"/>
        </w:rPr>
        <w:t>2020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36"/>
        </w:rPr>
        <w:t>年经济社会发展主要指标预期目标</w:t>
      </w:r>
    </w:p>
    <w:tbl>
      <w:tblPr>
        <w:tblW w:w="0" w:type="auto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164"/>
        <w:gridCol w:w="1020"/>
        <w:gridCol w:w="1095"/>
        <w:gridCol w:w="945"/>
        <w:gridCol w:w="1194"/>
        <w:gridCol w:w="1312"/>
        <w:gridCol w:w="1263"/>
        <w:gridCol w:w="1263"/>
        <w:gridCol w:w="1238"/>
        <w:gridCol w:w="1960"/>
      </w:tblGrid>
      <w:tr w:rsidR="00000000">
        <w:trPr>
          <w:trHeight w:val="360"/>
          <w:tblHeader/>
        </w:trPr>
        <w:tc>
          <w:tcPr>
            <w:tcW w:w="3164" w:type="dxa"/>
            <w:vMerge w:val="restart"/>
            <w:vAlign w:val="center"/>
          </w:tcPr>
          <w:p w:rsidR="00000000" w:rsidRDefault="00852BAC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/>
              </w:rPr>
              <w:t>指标</w:t>
            </w:r>
          </w:p>
        </w:tc>
        <w:tc>
          <w:tcPr>
            <w:tcW w:w="1020" w:type="dxa"/>
            <w:vMerge w:val="restart"/>
            <w:vAlign w:val="center"/>
          </w:tcPr>
          <w:p w:rsidR="00000000" w:rsidRDefault="00852BAC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/>
              </w:rPr>
              <w:t>计算</w:t>
            </w:r>
          </w:p>
          <w:p w:rsidR="00000000" w:rsidRDefault="00852BAC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/>
              </w:rPr>
              <w:t>单位</w:t>
            </w:r>
          </w:p>
        </w:tc>
        <w:tc>
          <w:tcPr>
            <w:tcW w:w="2040" w:type="dxa"/>
            <w:gridSpan w:val="2"/>
            <w:vAlign w:val="center"/>
          </w:tcPr>
          <w:p w:rsidR="00000000" w:rsidRDefault="00852BAC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 w:hint="eastAsia"/>
              </w:rPr>
              <w:t>2018</w:t>
            </w:r>
            <w:r>
              <w:rPr>
                <w:rFonts w:ascii="Times New Roman" w:eastAsia="黑体" w:hAnsi="Times New Roman"/>
              </w:rPr>
              <w:t>年</w:t>
            </w:r>
          </w:p>
        </w:tc>
        <w:tc>
          <w:tcPr>
            <w:tcW w:w="5032" w:type="dxa"/>
            <w:gridSpan w:val="4"/>
            <w:vAlign w:val="center"/>
          </w:tcPr>
          <w:p w:rsidR="00000000" w:rsidRDefault="00852BAC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/>
              </w:rPr>
              <w:t>20</w:t>
            </w:r>
            <w:r>
              <w:rPr>
                <w:rFonts w:ascii="Times New Roman" w:eastAsia="黑体" w:hAnsi="Times New Roman" w:hint="eastAsia"/>
              </w:rPr>
              <w:t>19</w:t>
            </w:r>
            <w:r>
              <w:rPr>
                <w:rFonts w:ascii="Times New Roman" w:eastAsia="黑体" w:hAnsi="Times New Roman"/>
              </w:rPr>
              <w:t>年</w:t>
            </w:r>
          </w:p>
        </w:tc>
        <w:tc>
          <w:tcPr>
            <w:tcW w:w="3198" w:type="dxa"/>
            <w:gridSpan w:val="2"/>
            <w:vAlign w:val="center"/>
          </w:tcPr>
          <w:p w:rsidR="00000000" w:rsidRDefault="00852BAC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/>
              </w:rPr>
              <w:t>20</w:t>
            </w:r>
            <w:r>
              <w:rPr>
                <w:rFonts w:ascii="Times New Roman" w:eastAsia="黑体" w:hAnsi="Times New Roman" w:hint="eastAsia"/>
              </w:rPr>
              <w:t>20</w:t>
            </w:r>
            <w:r>
              <w:rPr>
                <w:rFonts w:ascii="Times New Roman" w:eastAsia="黑体" w:hAnsi="Times New Roman"/>
              </w:rPr>
              <w:t>年</w:t>
            </w:r>
            <w:r>
              <w:rPr>
                <w:rFonts w:ascii="Times New Roman" w:eastAsia="黑体" w:hAnsi="Times New Roman" w:hint="eastAsia"/>
              </w:rPr>
              <w:t>预期目标</w:t>
            </w:r>
          </w:p>
        </w:tc>
      </w:tr>
      <w:tr w:rsidR="00000000">
        <w:trPr>
          <w:trHeight w:val="1074"/>
          <w:tblHeader/>
        </w:trPr>
        <w:tc>
          <w:tcPr>
            <w:tcW w:w="3164" w:type="dxa"/>
            <w:vMerge/>
            <w:vAlign w:val="center"/>
          </w:tcPr>
          <w:p w:rsidR="00000000" w:rsidRDefault="00852BAC">
            <w:pPr>
              <w:jc w:val="center"/>
              <w:rPr>
                <w:rFonts w:ascii="Times New Roman" w:eastAsia="黑体" w:hAns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000000" w:rsidRDefault="00852BAC">
            <w:pPr>
              <w:jc w:val="center"/>
              <w:rPr>
                <w:rFonts w:ascii="Times New Roman" w:eastAsia="黑体" w:hAnsi="Times New Roman"/>
              </w:rPr>
            </w:pPr>
          </w:p>
        </w:tc>
        <w:tc>
          <w:tcPr>
            <w:tcW w:w="1095" w:type="dxa"/>
            <w:vAlign w:val="center"/>
          </w:tcPr>
          <w:p w:rsidR="00000000" w:rsidRDefault="00852BAC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/>
              </w:rPr>
              <w:t>实绩</w:t>
            </w:r>
          </w:p>
        </w:tc>
        <w:tc>
          <w:tcPr>
            <w:tcW w:w="945" w:type="dxa"/>
            <w:vAlign w:val="center"/>
          </w:tcPr>
          <w:p w:rsidR="00000000" w:rsidRDefault="00852BAC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 w:hint="eastAsia"/>
              </w:rPr>
              <w:t>同比增长（</w:t>
            </w:r>
            <w:r>
              <w:rPr>
                <w:rFonts w:ascii="Times New Roman" w:eastAsia="黑体" w:hAnsi="Times New Roman" w:hint="eastAsia"/>
              </w:rPr>
              <w:t>%</w:t>
            </w:r>
            <w:r>
              <w:rPr>
                <w:rFonts w:ascii="Times New Roman" w:eastAsia="黑体" w:hAnsi="Times New Roman" w:hint="eastAsia"/>
              </w:rPr>
              <w:t>）</w:t>
            </w:r>
          </w:p>
        </w:tc>
        <w:tc>
          <w:tcPr>
            <w:tcW w:w="1194" w:type="dxa"/>
            <w:vAlign w:val="center"/>
          </w:tcPr>
          <w:p w:rsidR="00000000" w:rsidRDefault="00852BAC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/>
              </w:rPr>
              <w:t>预期目标</w:t>
            </w:r>
          </w:p>
        </w:tc>
        <w:tc>
          <w:tcPr>
            <w:tcW w:w="1312" w:type="dxa"/>
            <w:vAlign w:val="center"/>
          </w:tcPr>
          <w:p w:rsidR="00000000" w:rsidRDefault="00852BAC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 w:hint="eastAsia"/>
              </w:rPr>
              <w:t>同比增长（</w:t>
            </w:r>
            <w:r>
              <w:rPr>
                <w:rFonts w:ascii="Times New Roman" w:eastAsia="黑体" w:hAnsi="Times New Roman" w:hint="eastAsia"/>
              </w:rPr>
              <w:t>%</w:t>
            </w:r>
            <w:r>
              <w:rPr>
                <w:rFonts w:ascii="Times New Roman" w:eastAsia="黑体" w:hAnsi="Times New Roman" w:hint="eastAsia"/>
              </w:rPr>
              <w:t>）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/>
              </w:rPr>
              <w:t>预计</w:t>
            </w:r>
            <w:r>
              <w:rPr>
                <w:rFonts w:ascii="Times New Roman" w:eastAsia="黑体" w:hAnsi="Times New Roman" w:hint="eastAsia"/>
              </w:rPr>
              <w:t>完成总量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 w:hint="eastAsia"/>
              </w:rPr>
              <w:t>预计同比增长（</w:t>
            </w:r>
            <w:r>
              <w:rPr>
                <w:rFonts w:ascii="Times New Roman" w:eastAsia="黑体" w:hAnsi="Times New Roman" w:hint="eastAsia"/>
              </w:rPr>
              <w:t>%</w:t>
            </w:r>
            <w:r>
              <w:rPr>
                <w:rFonts w:ascii="Times New Roman" w:eastAsia="黑体" w:hAnsi="Times New Roman" w:hint="eastAsia"/>
              </w:rPr>
              <w:t>）</w:t>
            </w:r>
          </w:p>
        </w:tc>
        <w:tc>
          <w:tcPr>
            <w:tcW w:w="1238" w:type="dxa"/>
            <w:vAlign w:val="center"/>
          </w:tcPr>
          <w:p w:rsidR="00000000" w:rsidRDefault="00852BAC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 w:hint="eastAsia"/>
              </w:rPr>
              <w:t>总量</w:t>
            </w:r>
          </w:p>
        </w:tc>
        <w:tc>
          <w:tcPr>
            <w:tcW w:w="1960" w:type="dxa"/>
            <w:vAlign w:val="center"/>
          </w:tcPr>
          <w:p w:rsidR="00000000" w:rsidRDefault="00852BAC">
            <w:pPr>
              <w:jc w:val="center"/>
              <w:rPr>
                <w:rFonts w:ascii="Times New Roman" w:eastAsia="黑体" w:hAnsi="Times New Roman"/>
              </w:rPr>
            </w:pPr>
            <w:r>
              <w:rPr>
                <w:rFonts w:ascii="Times New Roman" w:eastAsia="黑体" w:hAnsi="Times New Roman" w:hint="eastAsia"/>
              </w:rPr>
              <w:t>同比增长（</w:t>
            </w:r>
            <w:r>
              <w:rPr>
                <w:rFonts w:ascii="Times New Roman" w:eastAsia="黑体" w:hAnsi="Times New Roman" w:hint="eastAsia"/>
              </w:rPr>
              <w:t>%</w:t>
            </w:r>
            <w:r>
              <w:rPr>
                <w:rFonts w:ascii="Times New Roman" w:eastAsia="黑体" w:hAnsi="Times New Roman" w:hint="eastAsia"/>
              </w:rPr>
              <w:t>）</w:t>
            </w:r>
          </w:p>
        </w:tc>
      </w:tr>
      <w:tr w:rsidR="00000000">
        <w:trPr>
          <w:trHeight w:val="360"/>
        </w:trPr>
        <w:tc>
          <w:tcPr>
            <w:tcW w:w="3164" w:type="dxa"/>
            <w:vAlign w:val="center"/>
          </w:tcPr>
          <w:p w:rsidR="00000000" w:rsidRDefault="00852BAC">
            <w:pPr>
              <w:spacing w:line="32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一、地区生产总值</w:t>
            </w:r>
          </w:p>
        </w:tc>
        <w:tc>
          <w:tcPr>
            <w:tcW w:w="1020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亿元</w:t>
            </w:r>
          </w:p>
        </w:tc>
        <w:tc>
          <w:tcPr>
            <w:tcW w:w="109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1167.73</w:t>
            </w:r>
          </w:p>
        </w:tc>
        <w:tc>
          <w:tcPr>
            <w:tcW w:w="94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3.8</w:t>
            </w:r>
          </w:p>
        </w:tc>
        <w:tc>
          <w:tcPr>
            <w:tcW w:w="1194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12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</w:t>
            </w:r>
            <w:r>
              <w:rPr>
                <w:rFonts w:ascii="Times New Roman" w:hAnsi="Times New Roman" w:hint="eastAsia"/>
              </w:rPr>
              <w:t>—</w:t>
            </w:r>
            <w:r>
              <w:rPr>
                <w:rFonts w:ascii="Times New Roman" w:hAnsi="Times New Roman" w:hint="eastAsia"/>
              </w:rPr>
              <w:t>6.5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1292.18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8.2</w:t>
            </w:r>
          </w:p>
        </w:tc>
        <w:tc>
          <w:tcPr>
            <w:tcW w:w="1238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960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</w:t>
            </w:r>
          </w:p>
        </w:tc>
      </w:tr>
      <w:tr w:rsidR="00000000">
        <w:trPr>
          <w:trHeight w:val="360"/>
        </w:trPr>
        <w:tc>
          <w:tcPr>
            <w:tcW w:w="3164" w:type="dxa"/>
            <w:vAlign w:val="center"/>
          </w:tcPr>
          <w:p w:rsidR="00000000" w:rsidRDefault="00852BAC">
            <w:pPr>
              <w:spacing w:line="32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二、人均生产总值</w:t>
            </w:r>
          </w:p>
        </w:tc>
        <w:tc>
          <w:tcPr>
            <w:tcW w:w="1020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元</w:t>
            </w:r>
          </w:p>
        </w:tc>
        <w:tc>
          <w:tcPr>
            <w:tcW w:w="109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45807</w:t>
            </w:r>
          </w:p>
        </w:tc>
        <w:tc>
          <w:tcPr>
            <w:tcW w:w="94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3.2</w:t>
            </w:r>
          </w:p>
        </w:tc>
        <w:tc>
          <w:tcPr>
            <w:tcW w:w="1194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12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5.5</w:t>
            </w:r>
            <w:r>
              <w:rPr>
                <w:rFonts w:ascii="Times New Roman" w:hAnsi="Times New Roman" w:hint="eastAsia"/>
              </w:rPr>
              <w:t>—</w:t>
            </w:r>
            <w:r>
              <w:rPr>
                <w:rFonts w:ascii="Times New Roman" w:hAnsi="Times New Roman" w:hint="eastAsia"/>
              </w:rPr>
              <w:t>6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50412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7.6</w:t>
            </w:r>
          </w:p>
        </w:tc>
        <w:tc>
          <w:tcPr>
            <w:tcW w:w="1238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960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6.5</w:t>
            </w:r>
          </w:p>
        </w:tc>
      </w:tr>
      <w:tr w:rsidR="00000000">
        <w:trPr>
          <w:trHeight w:val="360"/>
        </w:trPr>
        <w:tc>
          <w:tcPr>
            <w:tcW w:w="3164" w:type="dxa"/>
            <w:vAlign w:val="center"/>
          </w:tcPr>
          <w:p w:rsidR="00000000" w:rsidRDefault="00852BAC">
            <w:pPr>
              <w:spacing w:line="32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三</w:t>
            </w:r>
            <w:r>
              <w:rPr>
                <w:rFonts w:ascii="Times New Roman" w:hAnsi="Times New Roman"/>
              </w:rPr>
              <w:t>、规模以上工业增加值</w:t>
            </w:r>
          </w:p>
        </w:tc>
        <w:tc>
          <w:tcPr>
            <w:tcW w:w="1020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亿元</w:t>
            </w:r>
          </w:p>
        </w:tc>
        <w:tc>
          <w:tcPr>
            <w:tcW w:w="109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269.94</w:t>
            </w:r>
          </w:p>
        </w:tc>
        <w:tc>
          <w:tcPr>
            <w:tcW w:w="94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3.2</w:t>
            </w:r>
          </w:p>
        </w:tc>
        <w:tc>
          <w:tcPr>
            <w:tcW w:w="1194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12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8.5</w:t>
            </w:r>
            <w:r>
              <w:rPr>
                <w:rFonts w:ascii="Times New Roman" w:hAnsi="Times New Roman" w:hint="eastAsia"/>
              </w:rPr>
              <w:t>以上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345.34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17.0</w:t>
            </w:r>
          </w:p>
        </w:tc>
        <w:tc>
          <w:tcPr>
            <w:tcW w:w="1238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960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13</w:t>
            </w:r>
          </w:p>
        </w:tc>
      </w:tr>
      <w:tr w:rsidR="00000000">
        <w:trPr>
          <w:trHeight w:val="360"/>
        </w:trPr>
        <w:tc>
          <w:tcPr>
            <w:tcW w:w="3164" w:type="dxa"/>
            <w:vAlign w:val="center"/>
          </w:tcPr>
          <w:p w:rsidR="00000000" w:rsidRDefault="00852BAC">
            <w:pPr>
              <w:spacing w:line="32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四、农业总产值</w:t>
            </w:r>
          </w:p>
        </w:tc>
        <w:tc>
          <w:tcPr>
            <w:tcW w:w="1020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亿元</w:t>
            </w:r>
          </w:p>
        </w:tc>
        <w:tc>
          <w:tcPr>
            <w:tcW w:w="109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361.88</w:t>
            </w:r>
          </w:p>
        </w:tc>
        <w:tc>
          <w:tcPr>
            <w:tcW w:w="94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3.1</w:t>
            </w:r>
          </w:p>
        </w:tc>
        <w:tc>
          <w:tcPr>
            <w:tcW w:w="1194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 w:hint="eastAsia"/>
              </w:rPr>
            </w:pPr>
          </w:p>
        </w:tc>
        <w:tc>
          <w:tcPr>
            <w:tcW w:w="1312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408.43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2.3</w:t>
            </w:r>
          </w:p>
        </w:tc>
        <w:tc>
          <w:tcPr>
            <w:tcW w:w="1238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 w:hint="eastAsia"/>
                <w:color w:val="000000"/>
              </w:rPr>
            </w:pPr>
          </w:p>
        </w:tc>
        <w:tc>
          <w:tcPr>
            <w:tcW w:w="1960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2.5</w:t>
            </w:r>
          </w:p>
        </w:tc>
      </w:tr>
      <w:tr w:rsidR="00000000">
        <w:trPr>
          <w:trHeight w:val="360"/>
        </w:trPr>
        <w:tc>
          <w:tcPr>
            <w:tcW w:w="3164" w:type="dxa"/>
            <w:vAlign w:val="center"/>
          </w:tcPr>
          <w:p w:rsidR="00000000" w:rsidRDefault="00852BAC">
            <w:pPr>
              <w:spacing w:line="32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五</w:t>
            </w:r>
            <w:r>
              <w:rPr>
                <w:rFonts w:ascii="Times New Roman" w:hAnsi="Times New Roman"/>
              </w:rPr>
              <w:t>、固定资产投资</w:t>
            </w:r>
          </w:p>
        </w:tc>
        <w:tc>
          <w:tcPr>
            <w:tcW w:w="1020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亿元</w:t>
            </w:r>
          </w:p>
        </w:tc>
        <w:tc>
          <w:tcPr>
            <w:tcW w:w="109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390.76</w:t>
            </w:r>
          </w:p>
        </w:tc>
        <w:tc>
          <w:tcPr>
            <w:tcW w:w="94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  <w:r>
              <w:rPr>
                <w:rFonts w:ascii="Times New Roman" w:hAnsi="Times New Roman" w:hint="eastAsia"/>
              </w:rPr>
              <w:t>.3</w:t>
            </w:r>
          </w:p>
        </w:tc>
        <w:tc>
          <w:tcPr>
            <w:tcW w:w="1194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12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9</w:t>
            </w:r>
            <w:r>
              <w:rPr>
                <w:rFonts w:ascii="Times New Roman" w:hAnsi="Times New Roman" w:hint="eastAsia"/>
              </w:rPr>
              <w:t>左右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450.45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15.3</w:t>
            </w:r>
          </w:p>
        </w:tc>
        <w:tc>
          <w:tcPr>
            <w:tcW w:w="1238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960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10</w:t>
            </w:r>
          </w:p>
        </w:tc>
      </w:tr>
      <w:tr w:rsidR="00000000">
        <w:trPr>
          <w:trHeight w:val="360"/>
        </w:trPr>
        <w:tc>
          <w:tcPr>
            <w:tcW w:w="3164" w:type="dxa"/>
            <w:vAlign w:val="center"/>
          </w:tcPr>
          <w:p w:rsidR="00000000" w:rsidRDefault="00852BAC">
            <w:pPr>
              <w:spacing w:line="32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六</w:t>
            </w:r>
            <w:r>
              <w:rPr>
                <w:rFonts w:ascii="Times New Roman" w:hAnsi="Times New Roman"/>
              </w:rPr>
              <w:t>、社会消费品零售总额</w:t>
            </w:r>
          </w:p>
        </w:tc>
        <w:tc>
          <w:tcPr>
            <w:tcW w:w="1020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亿元</w:t>
            </w:r>
          </w:p>
        </w:tc>
        <w:tc>
          <w:tcPr>
            <w:tcW w:w="109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749.01</w:t>
            </w:r>
          </w:p>
        </w:tc>
        <w:tc>
          <w:tcPr>
            <w:tcW w:w="94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9.3</w:t>
            </w:r>
          </w:p>
        </w:tc>
        <w:tc>
          <w:tcPr>
            <w:tcW w:w="1194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12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8.5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806.75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7.7</w:t>
            </w:r>
          </w:p>
        </w:tc>
        <w:tc>
          <w:tcPr>
            <w:tcW w:w="1238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960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7.5</w:t>
            </w:r>
          </w:p>
        </w:tc>
      </w:tr>
      <w:tr w:rsidR="00000000">
        <w:trPr>
          <w:trHeight w:val="360"/>
        </w:trPr>
        <w:tc>
          <w:tcPr>
            <w:tcW w:w="3164" w:type="dxa"/>
            <w:vAlign w:val="center"/>
          </w:tcPr>
          <w:p w:rsidR="00000000" w:rsidRDefault="00852BAC">
            <w:pPr>
              <w:spacing w:line="32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七、居民消费价格指数</w:t>
            </w:r>
          </w:p>
        </w:tc>
        <w:tc>
          <w:tcPr>
            <w:tcW w:w="1020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%</w:t>
            </w:r>
          </w:p>
        </w:tc>
        <w:tc>
          <w:tcPr>
            <w:tcW w:w="109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101.5</w:t>
            </w:r>
          </w:p>
        </w:tc>
        <w:tc>
          <w:tcPr>
            <w:tcW w:w="94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1.5</w:t>
            </w:r>
          </w:p>
        </w:tc>
        <w:tc>
          <w:tcPr>
            <w:tcW w:w="1194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103</w:t>
            </w:r>
          </w:p>
        </w:tc>
        <w:tc>
          <w:tcPr>
            <w:tcW w:w="1312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102.9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2.9</w:t>
            </w:r>
          </w:p>
        </w:tc>
        <w:tc>
          <w:tcPr>
            <w:tcW w:w="1238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103.5</w:t>
            </w:r>
          </w:p>
        </w:tc>
        <w:tc>
          <w:tcPr>
            <w:tcW w:w="1960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3.5</w:t>
            </w:r>
            <w:r>
              <w:rPr>
                <w:rFonts w:ascii="Times New Roman" w:hAnsi="Times New Roman" w:hint="eastAsia"/>
                <w:color w:val="000000"/>
              </w:rPr>
              <w:t>左右</w:t>
            </w:r>
          </w:p>
        </w:tc>
      </w:tr>
      <w:tr w:rsidR="00000000">
        <w:trPr>
          <w:trHeight w:val="360"/>
        </w:trPr>
        <w:tc>
          <w:tcPr>
            <w:tcW w:w="3164" w:type="dxa"/>
            <w:vAlign w:val="center"/>
          </w:tcPr>
          <w:p w:rsidR="00000000" w:rsidRDefault="00852BAC">
            <w:pPr>
              <w:spacing w:line="32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八</w:t>
            </w:r>
            <w:r>
              <w:rPr>
                <w:rFonts w:ascii="Times New Roman" w:hAnsi="Times New Roman"/>
              </w:rPr>
              <w:t>、外贸进出口总额</w:t>
            </w:r>
          </w:p>
        </w:tc>
        <w:tc>
          <w:tcPr>
            <w:tcW w:w="1020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亿元</w:t>
            </w:r>
          </w:p>
        </w:tc>
        <w:tc>
          <w:tcPr>
            <w:tcW w:w="109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137.8</w:t>
            </w:r>
          </w:p>
        </w:tc>
        <w:tc>
          <w:tcPr>
            <w:tcW w:w="94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-3.2</w:t>
            </w:r>
          </w:p>
        </w:tc>
        <w:tc>
          <w:tcPr>
            <w:tcW w:w="1194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141</w:t>
            </w:r>
          </w:p>
        </w:tc>
        <w:tc>
          <w:tcPr>
            <w:tcW w:w="1312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151.6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10.0</w:t>
            </w:r>
          </w:p>
        </w:tc>
        <w:tc>
          <w:tcPr>
            <w:tcW w:w="1238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153</w:t>
            </w:r>
          </w:p>
        </w:tc>
        <w:tc>
          <w:tcPr>
            <w:tcW w:w="1960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</w:t>
            </w:r>
          </w:p>
        </w:tc>
      </w:tr>
      <w:tr w:rsidR="00000000">
        <w:trPr>
          <w:trHeight w:val="360"/>
        </w:trPr>
        <w:tc>
          <w:tcPr>
            <w:tcW w:w="3164" w:type="dxa"/>
            <w:vAlign w:val="center"/>
          </w:tcPr>
          <w:p w:rsidR="00000000" w:rsidRDefault="00852BAC">
            <w:pPr>
              <w:spacing w:line="32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九、</w:t>
            </w:r>
            <w:r>
              <w:rPr>
                <w:rFonts w:ascii="Times New Roman" w:hAnsi="Times New Roman"/>
              </w:rPr>
              <w:t>实际利用外资</w:t>
            </w:r>
          </w:p>
        </w:tc>
        <w:tc>
          <w:tcPr>
            <w:tcW w:w="1020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亿美元</w:t>
            </w:r>
          </w:p>
        </w:tc>
        <w:tc>
          <w:tcPr>
            <w:tcW w:w="109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7.63</w:t>
            </w:r>
          </w:p>
        </w:tc>
        <w:tc>
          <w:tcPr>
            <w:tcW w:w="94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1537.3</w:t>
            </w:r>
          </w:p>
        </w:tc>
        <w:tc>
          <w:tcPr>
            <w:tcW w:w="1194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0.06</w:t>
            </w:r>
          </w:p>
        </w:tc>
        <w:tc>
          <w:tcPr>
            <w:tcW w:w="1312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0.35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457.0</w:t>
            </w:r>
          </w:p>
        </w:tc>
        <w:tc>
          <w:tcPr>
            <w:tcW w:w="1238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0.37</w:t>
            </w:r>
          </w:p>
        </w:tc>
        <w:tc>
          <w:tcPr>
            <w:tcW w:w="1960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</w:t>
            </w:r>
          </w:p>
        </w:tc>
      </w:tr>
      <w:tr w:rsidR="00000000">
        <w:trPr>
          <w:trHeight w:val="360"/>
        </w:trPr>
        <w:tc>
          <w:tcPr>
            <w:tcW w:w="3164" w:type="dxa"/>
            <w:vAlign w:val="center"/>
          </w:tcPr>
          <w:p w:rsidR="00000000" w:rsidRDefault="00852BAC">
            <w:pPr>
              <w:spacing w:line="32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十</w:t>
            </w:r>
            <w:r>
              <w:rPr>
                <w:rFonts w:ascii="Times New Roman" w:hAnsi="Times New Roman"/>
              </w:rPr>
              <w:t>、地方一般公共预算收入</w:t>
            </w:r>
          </w:p>
        </w:tc>
        <w:tc>
          <w:tcPr>
            <w:tcW w:w="1020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亿元</w:t>
            </w:r>
          </w:p>
        </w:tc>
        <w:tc>
          <w:tcPr>
            <w:tcW w:w="109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62.62</w:t>
            </w:r>
          </w:p>
        </w:tc>
        <w:tc>
          <w:tcPr>
            <w:tcW w:w="94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3.2</w:t>
            </w:r>
          </w:p>
        </w:tc>
        <w:tc>
          <w:tcPr>
            <w:tcW w:w="1194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64.5</w:t>
            </w:r>
          </w:p>
        </w:tc>
        <w:tc>
          <w:tcPr>
            <w:tcW w:w="1312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64.29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2.7</w:t>
            </w:r>
          </w:p>
        </w:tc>
        <w:tc>
          <w:tcPr>
            <w:tcW w:w="1238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66.87</w:t>
            </w:r>
          </w:p>
        </w:tc>
        <w:tc>
          <w:tcPr>
            <w:tcW w:w="1960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</w:p>
        </w:tc>
      </w:tr>
      <w:tr w:rsidR="00000000">
        <w:trPr>
          <w:trHeight w:val="360"/>
        </w:trPr>
        <w:tc>
          <w:tcPr>
            <w:tcW w:w="3164" w:type="dxa"/>
            <w:vAlign w:val="center"/>
          </w:tcPr>
          <w:p w:rsidR="00000000" w:rsidRDefault="00852BAC">
            <w:pPr>
              <w:spacing w:line="32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十一、居民人均可支配收入</w:t>
            </w:r>
          </w:p>
        </w:tc>
        <w:tc>
          <w:tcPr>
            <w:tcW w:w="1020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元</w:t>
            </w:r>
          </w:p>
        </w:tc>
        <w:tc>
          <w:tcPr>
            <w:tcW w:w="109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000000"/>
              </w:rPr>
              <w:t>23281.8</w:t>
            </w:r>
          </w:p>
        </w:tc>
        <w:tc>
          <w:tcPr>
            <w:tcW w:w="94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000000"/>
              </w:rPr>
              <w:t>8.6</w:t>
            </w:r>
          </w:p>
        </w:tc>
        <w:tc>
          <w:tcPr>
            <w:tcW w:w="2506" w:type="dxa"/>
            <w:gridSpan w:val="2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与经济增长基本同步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25131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7.9</w:t>
            </w:r>
          </w:p>
        </w:tc>
        <w:tc>
          <w:tcPr>
            <w:tcW w:w="3198" w:type="dxa"/>
            <w:gridSpan w:val="2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与经济增长基本同步</w:t>
            </w:r>
          </w:p>
        </w:tc>
      </w:tr>
      <w:tr w:rsidR="00000000">
        <w:trPr>
          <w:trHeight w:val="360"/>
        </w:trPr>
        <w:tc>
          <w:tcPr>
            <w:tcW w:w="3164" w:type="dxa"/>
            <w:vAlign w:val="center"/>
          </w:tcPr>
          <w:p w:rsidR="00000000" w:rsidRDefault="00852BAC">
            <w:pPr>
              <w:spacing w:line="32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十二</w:t>
            </w:r>
            <w:r>
              <w:rPr>
                <w:rFonts w:ascii="Times New Roman" w:hAnsi="Times New Roman"/>
              </w:rPr>
              <w:t>、城镇登记失业率</w:t>
            </w:r>
          </w:p>
        </w:tc>
        <w:tc>
          <w:tcPr>
            <w:tcW w:w="1020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109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2.41</w:t>
            </w:r>
          </w:p>
        </w:tc>
        <w:tc>
          <w:tcPr>
            <w:tcW w:w="94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—</w:t>
            </w:r>
          </w:p>
        </w:tc>
        <w:tc>
          <w:tcPr>
            <w:tcW w:w="1194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 w:hint="eastAsia"/>
              </w:rPr>
              <w:t>以内</w:t>
            </w:r>
          </w:p>
        </w:tc>
        <w:tc>
          <w:tcPr>
            <w:tcW w:w="1312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</w:rPr>
              <w:t>—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2.40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—</w:t>
            </w:r>
          </w:p>
        </w:tc>
        <w:tc>
          <w:tcPr>
            <w:tcW w:w="1238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 w:hint="eastAsia"/>
              </w:rPr>
              <w:t>以内</w:t>
            </w:r>
          </w:p>
        </w:tc>
        <w:tc>
          <w:tcPr>
            <w:tcW w:w="1960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—</w:t>
            </w:r>
          </w:p>
        </w:tc>
      </w:tr>
      <w:tr w:rsidR="00000000">
        <w:trPr>
          <w:trHeight w:val="360"/>
        </w:trPr>
        <w:tc>
          <w:tcPr>
            <w:tcW w:w="3164" w:type="dxa"/>
            <w:vAlign w:val="center"/>
          </w:tcPr>
          <w:p w:rsidR="00000000" w:rsidRDefault="00852BAC">
            <w:pPr>
              <w:spacing w:line="32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十三、</w:t>
            </w:r>
            <w:r>
              <w:rPr>
                <w:rFonts w:ascii="Times New Roman" w:hAnsi="Times New Roman"/>
              </w:rPr>
              <w:t>每万元生产总值能耗</w:t>
            </w:r>
          </w:p>
        </w:tc>
        <w:tc>
          <w:tcPr>
            <w:tcW w:w="1020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吨标煤</w:t>
            </w:r>
          </w:p>
        </w:tc>
        <w:tc>
          <w:tcPr>
            <w:tcW w:w="109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0.54</w:t>
            </w:r>
          </w:p>
        </w:tc>
        <w:tc>
          <w:tcPr>
            <w:tcW w:w="945" w:type="dxa"/>
            <w:vAlign w:val="center"/>
          </w:tcPr>
          <w:p w:rsidR="00000000" w:rsidRDefault="00852BAC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5.6</w:t>
            </w:r>
          </w:p>
        </w:tc>
        <w:tc>
          <w:tcPr>
            <w:tcW w:w="1194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0.54</w:t>
            </w:r>
          </w:p>
        </w:tc>
        <w:tc>
          <w:tcPr>
            <w:tcW w:w="1312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0.64</w:t>
            </w:r>
          </w:p>
        </w:tc>
        <w:tc>
          <w:tcPr>
            <w:tcW w:w="1263" w:type="dxa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4.0</w:t>
            </w:r>
          </w:p>
        </w:tc>
        <w:tc>
          <w:tcPr>
            <w:tcW w:w="3198" w:type="dxa"/>
            <w:gridSpan w:val="2"/>
            <w:vAlign w:val="center"/>
          </w:tcPr>
          <w:p w:rsidR="00000000" w:rsidRDefault="00852BAC">
            <w:pPr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完成省下达年度任务</w:t>
            </w:r>
          </w:p>
        </w:tc>
      </w:tr>
    </w:tbl>
    <w:p w:rsidR="00000000" w:rsidRDefault="00852BAC">
      <w:pPr>
        <w:spacing w:beforeLines="50" w:line="180" w:lineRule="exact"/>
        <w:rPr>
          <w:rFonts w:ascii="Times New Roman" w:hAnsi="Times New Roman" w:hint="eastAsia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注：</w:t>
      </w:r>
      <w:r>
        <w:rPr>
          <w:rFonts w:ascii="Times New Roman" w:hAnsi="Times New Roman" w:hint="eastAsia"/>
          <w:sz w:val="21"/>
          <w:szCs w:val="21"/>
        </w:rPr>
        <w:t>1</w:t>
      </w:r>
      <w:r>
        <w:rPr>
          <w:rFonts w:ascii="Times New Roman" w:hAnsi="Times New Roman" w:hint="eastAsia"/>
          <w:sz w:val="21"/>
          <w:szCs w:val="21"/>
        </w:rPr>
        <w:t>．</w:t>
      </w:r>
      <w:r>
        <w:rPr>
          <w:rFonts w:ascii="Times New Roman" w:hAnsi="Times New Roman"/>
          <w:sz w:val="21"/>
          <w:szCs w:val="21"/>
        </w:rPr>
        <w:t>地区生产总值、人均生产总值、规模以上工业增加值、农业总产值指标的绝对值按当年价计算，增速按可比价计算</w:t>
      </w:r>
      <w:r>
        <w:rPr>
          <w:rFonts w:ascii="Times New Roman" w:hAnsi="Times New Roman" w:hint="eastAsia"/>
          <w:sz w:val="21"/>
          <w:szCs w:val="21"/>
        </w:rPr>
        <w:t>。</w:t>
      </w:r>
    </w:p>
    <w:p w:rsidR="00000000" w:rsidRDefault="00852BAC">
      <w:pPr>
        <w:spacing w:beforeLines="30" w:line="180" w:lineRule="exact"/>
        <w:ind w:leftChars="174" w:left="838" w:hangingChars="200" w:hanging="420"/>
        <w:rPr>
          <w:rFonts w:ascii="Times New Roman" w:hAnsi="Times New Roman" w:hint="eastAsia"/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2</w:t>
      </w:r>
      <w:r>
        <w:rPr>
          <w:rFonts w:ascii="Times New Roman" w:hAnsi="Times New Roman" w:hint="eastAsia"/>
          <w:sz w:val="21"/>
          <w:szCs w:val="21"/>
        </w:rPr>
        <w:t>．参照省的做法，不列出地区生产总值、人均生产总值、规模以</w:t>
      </w:r>
      <w:r>
        <w:rPr>
          <w:rFonts w:ascii="Times New Roman" w:hAnsi="Times New Roman" w:hint="eastAsia"/>
          <w:sz w:val="21"/>
          <w:szCs w:val="21"/>
        </w:rPr>
        <w:t>上工业增加值、农业总产值、固定资产投资、社会消费品零售总额</w:t>
      </w:r>
      <w:r>
        <w:rPr>
          <w:rFonts w:ascii="Times New Roman" w:hAnsi="Times New Roman" w:hint="eastAsia"/>
          <w:sz w:val="21"/>
          <w:szCs w:val="21"/>
        </w:rPr>
        <w:t>2020</w:t>
      </w:r>
      <w:r>
        <w:rPr>
          <w:rFonts w:ascii="Times New Roman" w:hAnsi="Times New Roman" w:hint="eastAsia"/>
          <w:sz w:val="21"/>
          <w:szCs w:val="21"/>
        </w:rPr>
        <w:t>年总量目标。</w:t>
      </w:r>
    </w:p>
    <w:p w:rsidR="00000000" w:rsidRDefault="00852BAC">
      <w:pPr>
        <w:spacing w:beforeLines="30" w:line="180" w:lineRule="exact"/>
        <w:ind w:firstLineChars="200" w:firstLine="420"/>
        <w:rPr>
          <w:rFonts w:ascii="Times New Roman" w:hAnsi="Times New Roman" w:hint="eastAsia"/>
          <w:sz w:val="21"/>
          <w:szCs w:val="21"/>
        </w:rPr>
      </w:pPr>
      <w:r>
        <w:rPr>
          <w:rFonts w:ascii="Times New Roman" w:hAnsi="Times New Roman" w:hint="eastAsia"/>
          <w:sz w:val="21"/>
          <w:szCs w:val="21"/>
        </w:rPr>
        <w:t>3</w:t>
      </w:r>
      <w:r>
        <w:rPr>
          <w:rFonts w:ascii="Times New Roman" w:hAnsi="Times New Roman" w:hint="eastAsia"/>
          <w:sz w:val="21"/>
          <w:szCs w:val="21"/>
        </w:rPr>
        <w:t>．实际利用外资</w:t>
      </w:r>
      <w:r>
        <w:rPr>
          <w:rFonts w:ascii="Times New Roman" w:hAnsi="Times New Roman" w:hint="eastAsia"/>
          <w:sz w:val="21"/>
          <w:szCs w:val="21"/>
        </w:rPr>
        <w:t>2019</w:t>
      </w:r>
      <w:r>
        <w:rPr>
          <w:rFonts w:ascii="Times New Roman" w:hAnsi="Times New Roman" w:hint="eastAsia"/>
          <w:sz w:val="21"/>
          <w:szCs w:val="21"/>
        </w:rPr>
        <w:t>年、</w:t>
      </w:r>
      <w:r>
        <w:rPr>
          <w:rFonts w:ascii="Times New Roman" w:hAnsi="Times New Roman" w:hint="eastAsia"/>
          <w:sz w:val="21"/>
          <w:szCs w:val="21"/>
        </w:rPr>
        <w:t>2020</w:t>
      </w:r>
      <w:r>
        <w:rPr>
          <w:rFonts w:ascii="Times New Roman" w:hAnsi="Times New Roman" w:hint="eastAsia"/>
          <w:sz w:val="21"/>
          <w:szCs w:val="21"/>
        </w:rPr>
        <w:t>年数据剔除了阳江核电股权转让因素。</w:t>
      </w:r>
    </w:p>
    <w:p w:rsidR="00000000" w:rsidRDefault="00852BAC">
      <w:pPr>
        <w:rPr>
          <w:rFonts w:hint="eastAsia"/>
        </w:rPr>
      </w:pPr>
    </w:p>
    <w:p w:rsidR="00852BAC" w:rsidRDefault="00852BAC"/>
    <w:sectPr w:rsidR="00852BAC">
      <w:pgSz w:w="16838" w:h="11906" w:orient="landscape"/>
      <w:pgMar w:top="1247" w:right="1247" w:bottom="1247" w:left="124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2BAC" w:rsidRDefault="00852BAC" w:rsidP="00463248">
      <w:r>
        <w:separator/>
      </w:r>
    </w:p>
  </w:endnote>
  <w:endnote w:type="continuationSeparator" w:id="1">
    <w:p w:rsidR="00852BAC" w:rsidRDefault="00852BAC" w:rsidP="004632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2BAC" w:rsidRDefault="00852BAC" w:rsidP="00463248">
      <w:r>
        <w:separator/>
      </w:r>
    </w:p>
  </w:footnote>
  <w:footnote w:type="continuationSeparator" w:id="1">
    <w:p w:rsidR="00852BAC" w:rsidRDefault="00852BAC" w:rsidP="004632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463248"/>
    <w:rsid w:val="00852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customStyle="1" w:styleId="Char">
    <w:name w:val="批注框文本 Char"/>
    <w:basedOn w:val="a0"/>
    <w:link w:val="a4"/>
    <w:rPr>
      <w:rFonts w:ascii="宋体" w:hAnsi="宋体" w:cs="宋体"/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Balloon Text"/>
    <w:basedOn w:val="a"/>
    <w:link w:val="Char"/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4</TotalTime>
  <Pages>1</Pages>
  <Words>135</Words>
  <Characters>771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/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清样稿</dc:title>
  <dc:creator>xbany</dc:creator>
  <cp:lastModifiedBy>阮永富</cp:lastModifiedBy>
  <cp:revision>2</cp:revision>
  <cp:lastPrinted>2020-02-19T02:53:00Z</cp:lastPrinted>
  <dcterms:created xsi:type="dcterms:W3CDTF">2020-02-28T09:18:00Z</dcterms:created>
  <dcterms:modified xsi:type="dcterms:W3CDTF">2020-02-28T09:18:00Z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2052-8.1.0.3260</vt:lpwstr>
  </property>
</Properties>
</file>