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公文小标宋" w:hAnsi="方正公文小标宋" w:eastAsia="方正公文小标宋" w:cs="方正公文小标宋"/>
          <w:sz w:val="44"/>
          <w:szCs w:val="44"/>
          <w:lang w:val="en-US" w:eastAsia="zh-CN"/>
        </w:rPr>
      </w:pPr>
      <w:r>
        <w:rPr>
          <w:rFonts w:hint="eastAsia" w:ascii="方正公文小标宋" w:hAnsi="方正公文小标宋" w:eastAsia="方正公文小标宋" w:cs="方正公文小标宋"/>
          <w:sz w:val="44"/>
          <w:szCs w:val="44"/>
          <w:lang w:eastAsia="zh-CN"/>
        </w:rPr>
        <w:t>《</w:t>
      </w:r>
      <w:r>
        <w:rPr>
          <w:rFonts w:hint="eastAsia" w:ascii="方正公文小标宋" w:hAnsi="方正公文小标宋" w:eastAsia="方正公文小标宋" w:cs="方正公文小标宋"/>
          <w:sz w:val="44"/>
          <w:szCs w:val="44"/>
          <w:lang w:val="en-US" w:eastAsia="zh-CN"/>
        </w:rPr>
        <w:t>阳江市医疗救助实施细则</w:t>
      </w:r>
      <w:r>
        <w:rPr>
          <w:rFonts w:hint="eastAsia" w:ascii="方正公文小标宋" w:hAnsi="方正公文小标宋" w:eastAsia="方正公文小标宋" w:cs="方正公文小标宋"/>
          <w:sz w:val="44"/>
          <w:szCs w:val="44"/>
          <w:lang w:eastAsia="zh-CN"/>
        </w:rPr>
        <w:t>》</w:t>
      </w:r>
      <w:r>
        <w:rPr>
          <w:rFonts w:hint="eastAsia" w:ascii="方正公文小标宋" w:hAnsi="方正公文小标宋" w:eastAsia="方正公文小标宋" w:cs="方正公文小标宋"/>
          <w:sz w:val="44"/>
          <w:szCs w:val="44"/>
          <w:lang w:val="en-US" w:eastAsia="zh-CN"/>
        </w:rPr>
        <w:t>政策解读</w:t>
      </w:r>
    </w:p>
    <w:p>
      <w:pPr>
        <w:jc w:val="left"/>
        <w:rPr>
          <w:rFonts w:hint="eastAsia" w:ascii="仿宋" w:hAnsi="仿宋" w:eastAsia="仿宋" w:cs="仿宋"/>
          <w:sz w:val="32"/>
          <w:szCs w:val="32"/>
          <w:lang w:val="en-US" w:eastAsia="zh-CN"/>
        </w:rPr>
      </w:pPr>
    </w:p>
    <w:p>
      <w:pPr>
        <w:jc w:val="center"/>
        <w:rPr>
          <w:rFonts w:ascii="宋体" w:hAnsi="宋体" w:eastAsia="宋体" w:cs="宋体"/>
          <w:sz w:val="24"/>
          <w:szCs w:val="24"/>
        </w:rPr>
      </w:pPr>
      <w:r>
        <w:rPr>
          <w:rFonts w:ascii="宋体" w:hAnsi="宋体" w:eastAsia="宋体" w:cs="宋体"/>
          <w:sz w:val="24"/>
          <w:szCs w:val="24"/>
        </w:rPr>
        <w:drawing>
          <wp:inline distT="0" distB="0" distL="114300" distR="114300">
            <wp:extent cx="5039995" cy="2850515"/>
            <wp:effectExtent l="0" t="0" r="8255" b="698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039995" cy="2850515"/>
                    </a:xfrm>
                    <a:prstGeom prst="rect">
                      <a:avLst/>
                    </a:prstGeom>
                    <a:noFill/>
                    <a:ln w="9525">
                      <a:noFill/>
                    </a:ln>
                  </pic:spPr>
                </pic:pic>
              </a:graphicData>
            </a:graphic>
          </wp:inline>
        </w:drawing>
      </w:r>
    </w:p>
    <w:p>
      <w:pPr>
        <w:jc w:val="center"/>
        <w:rPr>
          <w:rFonts w:ascii="宋体" w:hAnsi="宋体" w:eastAsia="宋体" w:cs="宋体"/>
          <w:sz w:val="24"/>
          <w:szCs w:val="24"/>
        </w:rPr>
      </w:pPr>
    </w:p>
    <w:p>
      <w:pPr>
        <w:jc w:val="center"/>
        <w:rPr>
          <w:rFonts w:ascii="宋体" w:hAnsi="宋体" w:eastAsia="宋体" w:cs="宋体"/>
          <w:sz w:val="24"/>
          <w:szCs w:val="24"/>
        </w:rPr>
      </w:pPr>
      <w:r>
        <w:rPr>
          <w:rFonts w:ascii="宋体" w:hAnsi="宋体" w:eastAsia="宋体" w:cs="宋体"/>
          <w:sz w:val="24"/>
          <w:szCs w:val="24"/>
        </w:rPr>
        <w:drawing>
          <wp:inline distT="0" distB="0" distL="114300" distR="114300">
            <wp:extent cx="5039995" cy="2295525"/>
            <wp:effectExtent l="0" t="0" r="0" b="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5"/>
                    <a:srcRect b="7521"/>
                    <a:stretch>
                      <a:fillRect/>
                    </a:stretch>
                  </pic:blipFill>
                  <pic:spPr>
                    <a:xfrm>
                      <a:off x="0" y="0"/>
                      <a:ext cx="5039995" cy="2295525"/>
                    </a:xfrm>
                    <a:prstGeom prst="rect">
                      <a:avLst/>
                    </a:prstGeom>
                    <a:noFill/>
                    <a:ln w="9525">
                      <a:noFill/>
                    </a:ln>
                  </pic:spPr>
                </pic:pic>
              </a:graphicData>
            </a:graphic>
          </wp:inline>
        </w:drawing>
      </w:r>
    </w:p>
    <w:p>
      <w:pPr>
        <w:jc w:val="center"/>
        <w:rPr>
          <w:rFonts w:ascii="宋体" w:hAnsi="宋体" w:eastAsia="宋体" w:cs="宋体"/>
          <w:sz w:val="24"/>
          <w:szCs w:val="24"/>
        </w:rPr>
      </w:pPr>
    </w:p>
    <w:p>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增强医疗救助制度可持续性，提高救助精准性，更好保障困难群众基本医疗需求，促进完善公平适度的待遇保障机制，解决救助政策不平衡，待遇水平不均衡问题，我局联合市民政局、市财政局、市卫生健康局、市乡村振兴局、市政务服务数据管理局、市残疾人联合会印发《阳江市医疗救助实施细则》（</w:t>
      </w:r>
      <w:r>
        <w:rPr>
          <w:rFonts w:hint="eastAsia" w:ascii="仿宋" w:hAnsi="仿宋" w:eastAsia="仿宋" w:cs="仿宋"/>
          <w:b w:val="0"/>
          <w:bCs w:val="0"/>
          <w:color w:val="000000"/>
          <w:sz w:val="32"/>
          <w:szCs w:val="32"/>
          <w:lang w:eastAsia="zh-CN"/>
        </w:rPr>
        <w:t>阳医保</w:t>
      </w:r>
      <w:r>
        <w:rPr>
          <w:rFonts w:hint="eastAsia" w:ascii="仿宋" w:hAnsi="仿宋" w:eastAsia="仿宋" w:cs="仿宋"/>
          <w:b w:val="0"/>
          <w:bCs w:val="0"/>
          <w:color w:val="000000"/>
          <w:sz w:val="32"/>
          <w:szCs w:val="32"/>
          <w:lang w:val="en-US" w:eastAsia="zh-CN"/>
        </w:rPr>
        <w:t>通</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2024</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w:t>
      </w:r>
      <w:r>
        <w:rPr>
          <w:rFonts w:hint="eastAsia" w:ascii="仿宋" w:hAnsi="仿宋" w:eastAsia="仿宋" w:cs="仿宋"/>
          <w:sz w:val="32"/>
          <w:szCs w:val="32"/>
          <w:lang w:val="en-US" w:eastAsia="zh-CN"/>
        </w:rPr>
        <w:t>号，以下简称《细则》）。《细则》对医疗救助定义、遵循总则、各部门职责、医疗救助对象认定、救助方式与标准、资金筹集和管理、服务管理、法律责任等方面</w:t>
      </w:r>
      <w:bookmarkStart w:id="0" w:name="_GoBack"/>
      <w:r>
        <w:rPr>
          <w:rFonts w:hint="eastAsia" w:ascii="仿宋" w:hAnsi="仿宋" w:eastAsia="仿宋" w:cs="仿宋"/>
          <w:sz w:val="32"/>
          <w:szCs w:val="32"/>
          <w:lang w:val="en-US" w:eastAsia="zh-CN"/>
        </w:rPr>
        <w:t>进行了明确</w:t>
      </w:r>
      <w:bookmarkEnd w:id="0"/>
      <w:r>
        <w:rPr>
          <w:rFonts w:hint="eastAsia" w:ascii="仿宋" w:hAnsi="仿宋" w:eastAsia="仿宋" w:cs="仿宋"/>
          <w:sz w:val="32"/>
          <w:szCs w:val="32"/>
          <w:lang w:val="en-US" w:eastAsia="zh-CN"/>
        </w:rPr>
        <w:t>，自2024年1月1日起施行，有效期五年。</w:t>
      </w:r>
    </w:p>
    <w:p>
      <w:pPr>
        <w:jc w:val="center"/>
        <w:rPr>
          <w:rFonts w:hint="eastAsia" w:ascii="仿宋" w:hAnsi="仿宋" w:eastAsia="仿宋" w:cs="仿宋"/>
          <w:sz w:val="32"/>
          <w:szCs w:val="32"/>
          <w:lang w:val="en-US" w:eastAsia="zh-CN"/>
        </w:rPr>
      </w:pPr>
    </w:p>
    <w:p>
      <w:pPr>
        <w:ind w:firstLine="640" w:firstLineChars="200"/>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四个原则</w:t>
      </w:r>
    </w:p>
    <w:p>
      <w:pPr>
        <w:jc w:val="cente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医疗救助统筹层次与基本医疗保险统筹层次相协调，遵循以下原则：</w:t>
      </w:r>
    </w:p>
    <w:p>
      <w:pPr>
        <w:jc w:val="center"/>
        <w:rPr>
          <w:rFonts w:hint="default" w:ascii="仿宋" w:hAnsi="仿宋" w:eastAsia="仿宋" w:cs="仿宋"/>
          <w:sz w:val="32"/>
          <w:szCs w:val="32"/>
          <w:lang w:val="en-US" w:eastAsia="zh-CN"/>
        </w:rPr>
      </w:pPr>
    </w:p>
    <w:p>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（一）托住底线。根据经济社会发展水平、医疗救助对象医疗费用、家庭困难程度和负担能力等因素，科学合理制定救助方案，确保医疗救助对象获得必需的基本医疗服务。</w:t>
      </w:r>
    </w:p>
    <w:p>
      <w:pPr>
        <w:jc w:val="center"/>
        <w:rPr>
          <w:rFonts w:hint="default" w:ascii="仿宋" w:hAnsi="仿宋" w:eastAsia="仿宋" w:cs="仿宋"/>
          <w:sz w:val="32"/>
          <w:szCs w:val="32"/>
          <w:lang w:val="en-US" w:eastAsia="zh-CN"/>
        </w:rPr>
      </w:pPr>
    </w:p>
    <w:p>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（二）统筹衔接。强化政府主导，鼓励多方参与，夯实基本医保、大病保险、医疗救助综合保障，促进慈善捐赠、商业健康保险等协同发展、有效衔接，实现政府救助与社会力量的高效联动和良性互动。</w:t>
      </w:r>
    </w:p>
    <w:p>
      <w:pPr>
        <w:jc w:val="center"/>
        <w:rPr>
          <w:rFonts w:hint="default" w:ascii="仿宋" w:hAnsi="仿宋" w:eastAsia="仿宋" w:cs="仿宋"/>
          <w:sz w:val="32"/>
          <w:szCs w:val="32"/>
          <w:lang w:val="en-US" w:eastAsia="zh-CN"/>
        </w:rPr>
      </w:pPr>
    </w:p>
    <w:p>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（三）公开公正。公开救助政策、工作程序、医疗救助对象以及实施情况，主动接受群众和社会监督，确保过程公开透明、结果公平公正。</w:t>
      </w:r>
    </w:p>
    <w:p>
      <w:pPr>
        <w:jc w:val="center"/>
        <w:rPr>
          <w:rFonts w:hint="default" w:ascii="仿宋" w:hAnsi="仿宋" w:eastAsia="仿宋" w:cs="仿宋"/>
          <w:sz w:val="32"/>
          <w:szCs w:val="32"/>
          <w:lang w:val="en-US" w:eastAsia="zh-CN"/>
        </w:rPr>
      </w:pPr>
    </w:p>
    <w:p>
      <w:pPr>
        <w:ind w:firstLine="640" w:firstLineChars="20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（四）高效便捷。优化救助流程，简化结算程序，加强信息化建设，增强救助时效性，使医疗救助对象及时得到有效救助。</w:t>
      </w:r>
    </w:p>
    <w:p>
      <w:pPr>
        <w:jc w:val="both"/>
        <w:rPr>
          <w:rFonts w:hint="eastAsia" w:ascii="仿宋" w:hAnsi="仿宋" w:eastAsia="仿宋" w:cs="仿宋"/>
          <w:sz w:val="32"/>
          <w:szCs w:val="32"/>
          <w:lang w:val="en-US" w:eastAsia="zh-CN"/>
        </w:rPr>
      </w:pPr>
    </w:p>
    <w:p>
      <w:pPr>
        <w:ind w:firstLine="640" w:firstLineChars="200"/>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主要内容解读</w:t>
      </w:r>
    </w:p>
    <w:p>
      <w:pPr>
        <w:ind w:firstLine="640" w:firstLineChars="200"/>
        <w:jc w:val="both"/>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eastAsia="zh-CN"/>
        </w:rPr>
        <w:t>《细则》在延续《广东省医疗保障局 广东省民政厅 广东省财政厅 广东省卫生健康委员会 广东省乡村振兴局 广东省政务服务数据管理局关于印发&lt;广东省医疗救助办法&gt;的通知》（粤医保规〔2023〕4号）基本框架的基础上，按照我市实际，对相关章节内容进行补充完善。《细则》分为7章共</w:t>
      </w:r>
      <w:r>
        <w:rPr>
          <w:rFonts w:hint="eastAsia" w:ascii="仿宋" w:hAnsi="仿宋" w:eastAsia="仿宋" w:cs="仿宋"/>
          <w:b w:val="0"/>
          <w:bCs w:val="0"/>
          <w:color w:val="000000"/>
          <w:sz w:val="32"/>
          <w:szCs w:val="32"/>
          <w:lang w:val="en-US" w:eastAsia="zh-CN"/>
        </w:rPr>
        <w:t>32</w:t>
      </w:r>
      <w:r>
        <w:rPr>
          <w:rFonts w:hint="eastAsia" w:ascii="仿宋" w:hAnsi="仿宋" w:eastAsia="仿宋" w:cs="仿宋"/>
          <w:b w:val="0"/>
          <w:bCs w:val="0"/>
          <w:color w:val="000000"/>
          <w:sz w:val="32"/>
          <w:szCs w:val="32"/>
          <w:lang w:eastAsia="zh-CN"/>
        </w:rPr>
        <w:t>条，包括总则、医疗救助对象、救助方式与标准、资金筹集和管理、服务管理、法律责任、附则。需要说明的事项如下：</w:t>
      </w:r>
    </w:p>
    <w:p>
      <w:pPr>
        <w:ind w:firstLine="643" w:firstLineChars="200"/>
        <w:jc w:val="both"/>
        <w:rPr>
          <w:rFonts w:hint="eastAsia" w:ascii="仿宋" w:hAnsi="仿宋" w:eastAsia="仿宋" w:cs="仿宋"/>
          <w:b/>
          <w:bCs/>
          <w:color w:val="000000"/>
          <w:sz w:val="32"/>
          <w:szCs w:val="32"/>
          <w:lang w:eastAsia="zh-CN"/>
        </w:rPr>
      </w:pPr>
      <w:r>
        <w:rPr>
          <w:rFonts w:hint="eastAsia" w:ascii="仿宋" w:hAnsi="仿宋" w:eastAsia="仿宋" w:cs="仿宋"/>
          <w:b/>
          <w:bCs/>
          <w:color w:val="000000"/>
          <w:sz w:val="32"/>
          <w:szCs w:val="32"/>
          <w:lang w:eastAsia="zh-CN"/>
        </w:rPr>
        <w:t>（</w:t>
      </w:r>
      <w:r>
        <w:rPr>
          <w:rFonts w:hint="eastAsia" w:ascii="仿宋" w:hAnsi="仿宋" w:eastAsia="仿宋" w:cs="仿宋"/>
          <w:b/>
          <w:bCs/>
          <w:color w:val="000000"/>
          <w:sz w:val="32"/>
          <w:szCs w:val="32"/>
          <w:lang w:val="en-US" w:eastAsia="zh-CN"/>
        </w:rPr>
        <w:t>一</w:t>
      </w:r>
      <w:r>
        <w:rPr>
          <w:rFonts w:hint="eastAsia" w:ascii="仿宋" w:hAnsi="仿宋" w:eastAsia="仿宋" w:cs="仿宋"/>
          <w:b/>
          <w:bCs/>
          <w:color w:val="000000"/>
          <w:sz w:val="32"/>
          <w:szCs w:val="32"/>
          <w:lang w:eastAsia="zh-CN"/>
        </w:rPr>
        <w:t>）关于医疗救助对象范围</w:t>
      </w:r>
    </w:p>
    <w:p>
      <w:pPr>
        <w:ind w:firstLine="640" w:firstLineChars="200"/>
        <w:jc w:val="both"/>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《细则》按照省文件要求及我市相关规定执行，具体包括我市认定的以下人员：</w:t>
      </w:r>
    </w:p>
    <w:p>
      <w:pPr>
        <w:ind w:firstLine="640" w:firstLineChars="200"/>
        <w:jc w:val="both"/>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一是收入型医疗救助对象，指某一时期收入较低或者无劳动收入及其他经济来源的困难人员，包括特困人员、孤儿、事实无人抚养儿童、最低生活保障对象、最低生活保障边缘家庭成员。</w:t>
      </w:r>
    </w:p>
    <w:p>
      <w:pPr>
        <w:ind w:firstLine="640" w:firstLineChars="200"/>
        <w:jc w:val="both"/>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二是支出型医疗救助对象，即符合《阳江市人民政府办公室关于印发阳江市最低生活保障边缘家庭和支出型困难家庭救助实施细则的通知》规定的支出型困难家庭中的重病患者。</w:t>
      </w:r>
    </w:p>
    <w:p>
      <w:pPr>
        <w:ind w:firstLine="640" w:firstLineChars="200"/>
        <w:jc w:val="both"/>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三是纳入监测范围的农村易返贫致贫人口。</w:t>
      </w:r>
    </w:p>
    <w:p>
      <w:pPr>
        <w:ind w:firstLine="643" w:firstLineChars="200"/>
        <w:jc w:val="both"/>
        <w:rPr>
          <w:rFonts w:hint="default" w:ascii="仿宋" w:hAnsi="仿宋" w:eastAsia="仿宋" w:cs="仿宋"/>
          <w:b/>
          <w:bCs/>
          <w:color w:val="000000"/>
          <w:sz w:val="32"/>
          <w:szCs w:val="32"/>
          <w:lang w:val="en-US" w:eastAsia="zh-CN"/>
        </w:rPr>
      </w:pPr>
      <w:r>
        <w:rPr>
          <w:rFonts w:hint="default" w:ascii="仿宋" w:hAnsi="仿宋" w:eastAsia="仿宋" w:cs="仿宋"/>
          <w:b/>
          <w:bCs/>
          <w:color w:val="000000"/>
          <w:sz w:val="32"/>
          <w:szCs w:val="32"/>
          <w:lang w:val="en-US" w:eastAsia="zh-CN"/>
        </w:rPr>
        <w:t>（二）关于资助参加城乡居民基本医疗保险</w:t>
      </w:r>
    </w:p>
    <w:p>
      <w:pPr>
        <w:ind w:firstLine="640" w:firstLineChars="200"/>
        <w:jc w:val="both"/>
        <w:rPr>
          <w:rFonts w:hint="default" w:ascii="仿宋" w:hAnsi="仿宋" w:eastAsia="仿宋" w:cs="仿宋"/>
          <w:b w:val="0"/>
          <w:bCs w:val="0"/>
          <w:color w:val="000000"/>
          <w:sz w:val="32"/>
          <w:szCs w:val="32"/>
          <w:lang w:val="en-US" w:eastAsia="zh-CN"/>
        </w:rPr>
      </w:pPr>
      <w:r>
        <w:rPr>
          <w:rFonts w:hint="default" w:ascii="仿宋" w:hAnsi="仿宋" w:eastAsia="仿宋" w:cs="仿宋"/>
          <w:b w:val="0"/>
          <w:bCs w:val="0"/>
          <w:color w:val="000000"/>
          <w:sz w:val="32"/>
          <w:szCs w:val="32"/>
          <w:lang w:val="en-US" w:eastAsia="zh-CN"/>
        </w:rPr>
        <w:t>《细则》落实省文件要求，结合我市实际，明确</w:t>
      </w:r>
      <w:r>
        <w:rPr>
          <w:rFonts w:hint="eastAsia" w:ascii="仿宋" w:hAnsi="仿宋" w:eastAsia="仿宋" w:cs="仿宋"/>
          <w:b w:val="0"/>
          <w:bCs w:val="0"/>
          <w:color w:val="000000"/>
          <w:sz w:val="32"/>
          <w:szCs w:val="32"/>
          <w:lang w:val="en-US" w:eastAsia="zh-CN"/>
        </w:rPr>
        <w:t>资助参保对象：</w:t>
      </w:r>
    </w:p>
    <w:p>
      <w:pPr>
        <w:ind w:firstLine="640" w:firstLineChars="200"/>
        <w:jc w:val="both"/>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一是经我市民政部门认定的特困人员、孤儿、事实无人抚养儿童、最低生活保障对象、最低生活保障边缘家庭成员。</w:t>
      </w:r>
    </w:p>
    <w:p>
      <w:pPr>
        <w:ind w:firstLine="640" w:firstLineChars="200"/>
        <w:jc w:val="both"/>
        <w:rPr>
          <w:rFonts w:hint="eastAsia" w:ascii="仿宋" w:hAnsi="仿宋" w:eastAsia="仿宋" w:cs="仿宋"/>
          <w:b w:val="0"/>
          <w:bCs w:val="0"/>
          <w:color w:val="auto"/>
          <w:kern w:val="2"/>
          <w:sz w:val="32"/>
          <w:szCs w:val="32"/>
          <w:highlight w:val="none"/>
          <w:u w:val="none" w:color="auto"/>
          <w:lang w:val="en-US" w:eastAsia="zh-CN" w:bidi="ar-SA"/>
        </w:rPr>
      </w:pPr>
      <w:r>
        <w:rPr>
          <w:rFonts w:hint="eastAsia" w:ascii="仿宋" w:hAnsi="仿宋" w:eastAsia="仿宋" w:cs="仿宋"/>
          <w:b w:val="0"/>
          <w:bCs w:val="0"/>
          <w:color w:val="000000"/>
          <w:sz w:val="32"/>
          <w:szCs w:val="32"/>
          <w:lang w:val="en-US" w:eastAsia="zh-CN"/>
        </w:rPr>
        <w:t>二是</w:t>
      </w:r>
      <w:r>
        <w:rPr>
          <w:rFonts w:hint="eastAsia" w:ascii="仿宋" w:hAnsi="仿宋" w:eastAsia="仿宋" w:cs="仿宋"/>
          <w:b w:val="0"/>
          <w:bCs w:val="0"/>
          <w:color w:val="auto"/>
          <w:kern w:val="2"/>
          <w:sz w:val="32"/>
          <w:szCs w:val="32"/>
          <w:highlight w:val="none"/>
          <w:u w:val="none" w:color="auto"/>
          <w:lang w:val="en-US" w:eastAsia="zh-CN" w:bidi="ar-SA"/>
        </w:rPr>
        <w:t>经我市残联部门认定的重度残疾人。</w:t>
      </w:r>
    </w:p>
    <w:p>
      <w:pPr>
        <w:ind w:firstLine="640" w:firstLineChars="200"/>
        <w:jc w:val="both"/>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三是纳入监测范围的农村易返贫致贫人口。</w:t>
      </w:r>
    </w:p>
    <w:p>
      <w:pPr>
        <w:ind w:firstLine="643" w:firstLineChars="200"/>
        <w:jc w:val="both"/>
        <w:rPr>
          <w:rFonts w:hint="default" w:ascii="仿宋" w:hAnsi="仿宋" w:eastAsia="仿宋" w:cs="仿宋"/>
          <w:b w:val="0"/>
          <w:bCs w:val="0"/>
          <w:color w:val="000000"/>
          <w:sz w:val="32"/>
          <w:szCs w:val="32"/>
          <w:lang w:val="en-US" w:eastAsia="zh-CN"/>
        </w:rPr>
      </w:pPr>
      <w:r>
        <w:rPr>
          <w:rFonts w:hint="eastAsia" w:ascii="仿宋" w:hAnsi="仿宋" w:eastAsia="仿宋" w:cs="仿宋"/>
          <w:b/>
          <w:bCs/>
          <w:color w:val="000000"/>
          <w:sz w:val="32"/>
          <w:szCs w:val="32"/>
          <w:lang w:val="en-US" w:eastAsia="zh-CN"/>
        </w:rPr>
        <w:t>（三）关于医疗费用救助标准</w:t>
      </w:r>
    </w:p>
    <w:p>
      <w:pPr>
        <w:ind w:firstLine="640" w:firstLineChars="200"/>
        <w:jc w:val="both"/>
        <w:rPr>
          <w:rFonts w:hint="eastAsia" w:ascii="仿宋" w:hAnsi="仿宋" w:eastAsia="仿宋" w:cs="仿宋"/>
          <w:color w:val="auto"/>
          <w:kern w:val="2"/>
          <w:sz w:val="32"/>
          <w:szCs w:val="32"/>
          <w:highlight w:val="none"/>
          <w:u w:val="none" w:color="auto"/>
          <w:lang w:val="en-US" w:eastAsia="zh-CN" w:bidi="ar-SA"/>
        </w:rPr>
      </w:pPr>
      <w:r>
        <w:rPr>
          <w:rFonts w:hint="eastAsia" w:ascii="仿宋" w:hAnsi="仿宋" w:eastAsia="仿宋" w:cs="仿宋"/>
          <w:b w:val="0"/>
          <w:bCs w:val="0"/>
          <w:color w:val="000000"/>
          <w:sz w:val="32"/>
          <w:szCs w:val="32"/>
          <w:lang w:val="en-US" w:eastAsia="zh-CN"/>
        </w:rPr>
        <w:t>一是明确</w:t>
      </w:r>
      <w:r>
        <w:rPr>
          <w:rFonts w:hint="eastAsia" w:ascii="仿宋" w:hAnsi="仿宋" w:eastAsia="仿宋" w:cs="仿宋"/>
          <w:color w:val="auto"/>
          <w:kern w:val="2"/>
          <w:sz w:val="32"/>
          <w:szCs w:val="32"/>
          <w:highlight w:val="none"/>
          <w:u w:val="none" w:color="auto"/>
          <w:lang w:val="en-US" w:eastAsia="zh-CN" w:bidi="ar-SA"/>
        </w:rPr>
        <w:t>由</w:t>
      </w:r>
      <w:r>
        <w:rPr>
          <w:rFonts w:hint="eastAsia" w:ascii="仿宋" w:hAnsi="仿宋" w:eastAsia="仿宋" w:cs="仿宋"/>
          <w:b w:val="0"/>
          <w:bCs w:val="0"/>
          <w:sz w:val="32"/>
          <w:szCs w:val="32"/>
          <w:highlight w:val="none"/>
          <w:u w:val="none" w:color="auto"/>
        </w:rPr>
        <w:t>医疗救助基金支付的药品、医</w:t>
      </w:r>
      <w:r>
        <w:rPr>
          <w:rFonts w:hint="eastAsia" w:ascii="仿宋" w:hAnsi="仿宋" w:eastAsia="仿宋" w:cs="仿宋"/>
          <w:sz w:val="32"/>
          <w:szCs w:val="32"/>
          <w:highlight w:val="none"/>
          <w:u w:val="none" w:color="auto"/>
        </w:rPr>
        <w:t>用耗材、诊疗项目</w:t>
      </w:r>
      <w:r>
        <w:rPr>
          <w:rFonts w:hint="eastAsia" w:ascii="仿宋" w:hAnsi="仿宋" w:eastAsia="仿宋" w:cs="仿宋"/>
          <w:sz w:val="32"/>
          <w:szCs w:val="32"/>
          <w:highlight w:val="none"/>
          <w:u w:val="none" w:color="auto"/>
          <w:lang w:eastAsia="zh-CN"/>
        </w:rPr>
        <w:t>参照</w:t>
      </w:r>
      <w:r>
        <w:rPr>
          <w:rFonts w:hint="eastAsia" w:ascii="仿宋" w:hAnsi="仿宋" w:eastAsia="仿宋" w:cs="仿宋"/>
          <w:sz w:val="32"/>
          <w:szCs w:val="32"/>
          <w:highlight w:val="none"/>
          <w:u w:val="none" w:color="auto"/>
        </w:rPr>
        <w:t>国家</w:t>
      </w:r>
      <w:r>
        <w:rPr>
          <w:rFonts w:hint="eastAsia" w:ascii="仿宋" w:hAnsi="仿宋" w:eastAsia="仿宋" w:cs="仿宋"/>
          <w:sz w:val="32"/>
          <w:szCs w:val="32"/>
          <w:highlight w:val="none"/>
          <w:u w:val="none" w:color="auto"/>
          <w:lang w:eastAsia="zh-CN"/>
        </w:rPr>
        <w:t>和省</w:t>
      </w:r>
      <w:r>
        <w:rPr>
          <w:rFonts w:hint="eastAsia" w:ascii="仿宋" w:hAnsi="仿宋" w:eastAsia="仿宋" w:cs="仿宋"/>
          <w:sz w:val="32"/>
          <w:szCs w:val="32"/>
          <w:highlight w:val="none"/>
          <w:u w:val="none" w:color="auto"/>
          <w:lang w:val="en-US" w:eastAsia="zh-CN"/>
        </w:rPr>
        <w:t>关于</w:t>
      </w:r>
      <w:r>
        <w:rPr>
          <w:rFonts w:hint="eastAsia" w:ascii="仿宋" w:hAnsi="仿宋" w:eastAsia="仿宋" w:cs="仿宋"/>
          <w:sz w:val="32"/>
          <w:szCs w:val="32"/>
          <w:highlight w:val="none"/>
          <w:u w:val="none" w:color="auto"/>
        </w:rPr>
        <w:t>基本</w:t>
      </w:r>
      <w:r>
        <w:rPr>
          <w:rFonts w:hint="eastAsia" w:ascii="仿宋" w:hAnsi="仿宋" w:eastAsia="仿宋" w:cs="仿宋"/>
          <w:sz w:val="32"/>
          <w:szCs w:val="32"/>
          <w:highlight w:val="none"/>
          <w:u w:val="none" w:color="auto"/>
          <w:lang w:val="en-US" w:eastAsia="zh-CN"/>
        </w:rPr>
        <w:t>医疗保险</w:t>
      </w:r>
      <w:r>
        <w:rPr>
          <w:rFonts w:hint="eastAsia" w:ascii="仿宋" w:hAnsi="仿宋" w:eastAsia="仿宋" w:cs="仿宋"/>
          <w:sz w:val="32"/>
          <w:szCs w:val="32"/>
          <w:highlight w:val="none"/>
          <w:u w:val="none" w:color="auto"/>
        </w:rPr>
        <w:t>支付范围</w:t>
      </w:r>
      <w:r>
        <w:rPr>
          <w:rFonts w:hint="eastAsia" w:ascii="仿宋" w:hAnsi="仿宋" w:eastAsia="仿宋" w:cs="仿宋"/>
          <w:sz w:val="32"/>
          <w:szCs w:val="32"/>
          <w:highlight w:val="none"/>
          <w:u w:val="none" w:color="auto"/>
          <w:lang w:eastAsia="zh-CN"/>
        </w:rPr>
        <w:t>相关</w:t>
      </w:r>
      <w:r>
        <w:rPr>
          <w:rFonts w:hint="eastAsia" w:ascii="仿宋" w:hAnsi="仿宋" w:eastAsia="仿宋" w:cs="仿宋"/>
          <w:sz w:val="32"/>
          <w:szCs w:val="32"/>
          <w:highlight w:val="none"/>
          <w:u w:val="none" w:color="auto"/>
        </w:rPr>
        <w:t>规定</w:t>
      </w:r>
      <w:r>
        <w:rPr>
          <w:rFonts w:hint="eastAsia" w:ascii="仿宋" w:hAnsi="仿宋" w:eastAsia="仿宋" w:cs="仿宋"/>
          <w:sz w:val="32"/>
          <w:szCs w:val="32"/>
          <w:highlight w:val="none"/>
          <w:u w:val="none" w:color="auto"/>
          <w:lang w:eastAsia="zh-CN"/>
        </w:rPr>
        <w:t>执行，</w:t>
      </w:r>
      <w:r>
        <w:rPr>
          <w:rFonts w:hint="eastAsia" w:ascii="仿宋" w:hAnsi="仿宋" w:eastAsia="仿宋" w:cs="仿宋"/>
          <w:sz w:val="32"/>
          <w:szCs w:val="32"/>
          <w:highlight w:val="none"/>
          <w:u w:val="none" w:color="auto"/>
          <w:lang w:val="en-US" w:eastAsia="zh-CN"/>
        </w:rPr>
        <w:t>基本医疗保险政策范围外医疗费用不纳入医疗救助基金支付范围。</w:t>
      </w:r>
      <w:r>
        <w:rPr>
          <w:rFonts w:hint="eastAsia" w:ascii="仿宋" w:hAnsi="仿宋" w:eastAsia="仿宋" w:cs="仿宋"/>
          <w:color w:val="auto"/>
          <w:kern w:val="2"/>
          <w:sz w:val="32"/>
          <w:szCs w:val="32"/>
          <w:highlight w:val="none"/>
          <w:u w:val="none" w:color="auto"/>
          <w:lang w:val="en-US" w:eastAsia="zh-CN" w:bidi="ar-SA"/>
        </w:rPr>
        <w:t xml:space="preserve">  </w:t>
      </w:r>
    </w:p>
    <w:p>
      <w:pPr>
        <w:ind w:firstLine="640" w:firstLineChars="200"/>
        <w:jc w:val="both"/>
        <w:rPr>
          <w:rFonts w:hint="default"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二</w:t>
      </w:r>
      <w:r>
        <w:rPr>
          <w:rFonts w:hint="default" w:ascii="仿宋" w:hAnsi="仿宋" w:eastAsia="仿宋" w:cs="仿宋"/>
          <w:b w:val="0"/>
          <w:bCs w:val="0"/>
          <w:color w:val="000000"/>
          <w:sz w:val="32"/>
          <w:szCs w:val="32"/>
          <w:lang w:val="en-US" w:eastAsia="zh-CN"/>
        </w:rPr>
        <w:t>是</w:t>
      </w:r>
      <w:r>
        <w:rPr>
          <w:rFonts w:hint="eastAsia" w:ascii="仿宋" w:hAnsi="仿宋" w:eastAsia="仿宋" w:cs="仿宋"/>
          <w:b w:val="0"/>
          <w:bCs w:val="0"/>
          <w:color w:val="000000"/>
          <w:sz w:val="32"/>
          <w:szCs w:val="32"/>
          <w:lang w:val="en-US" w:eastAsia="zh-CN"/>
        </w:rPr>
        <w:t>明确</w:t>
      </w:r>
      <w:r>
        <w:rPr>
          <w:rFonts w:hint="default" w:ascii="仿宋" w:hAnsi="仿宋" w:eastAsia="仿宋" w:cs="仿宋"/>
          <w:b w:val="0"/>
          <w:bCs w:val="0"/>
          <w:color w:val="000000"/>
          <w:sz w:val="32"/>
          <w:szCs w:val="32"/>
          <w:lang w:val="en-US" w:eastAsia="zh-CN"/>
        </w:rPr>
        <w:t>收入型医疗救助对象</w:t>
      </w:r>
      <w:r>
        <w:rPr>
          <w:rFonts w:hint="eastAsia" w:ascii="仿宋" w:hAnsi="仿宋" w:eastAsia="仿宋" w:cs="仿宋"/>
          <w:b w:val="0"/>
          <w:bCs w:val="0"/>
          <w:color w:val="000000"/>
          <w:sz w:val="32"/>
          <w:szCs w:val="32"/>
          <w:lang w:val="en-US" w:eastAsia="zh-CN"/>
        </w:rPr>
        <w:t>救助标准</w:t>
      </w:r>
      <w:r>
        <w:rPr>
          <w:rFonts w:hint="default" w:ascii="仿宋" w:hAnsi="仿宋" w:eastAsia="仿宋" w:cs="仿宋"/>
          <w:b w:val="0"/>
          <w:bCs w:val="0"/>
          <w:color w:val="000000"/>
          <w:sz w:val="32"/>
          <w:szCs w:val="32"/>
          <w:lang w:val="en-US" w:eastAsia="zh-CN"/>
        </w:rPr>
        <w:t>。特困人员、孤儿、事实无人抚养儿童按100%的比例予以救助，不设年度救助起付标准，不设年度救助限额；最低生活保障对象按80%的比例予以救助，不设年度救助起付标准，年度救助限额为16万元；最低生活保障边缘家庭成员按70%的比例予以救助，年度救助起付标准为我市上上年度居民年人均可支配收入的10%，年度救助限额为12万元。</w:t>
      </w:r>
    </w:p>
    <w:p>
      <w:pPr>
        <w:ind w:firstLine="640" w:firstLineChars="200"/>
        <w:jc w:val="both"/>
        <w:rPr>
          <w:rFonts w:hint="default"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三</w:t>
      </w:r>
      <w:r>
        <w:rPr>
          <w:rFonts w:hint="default" w:ascii="仿宋" w:hAnsi="仿宋" w:eastAsia="仿宋" w:cs="仿宋"/>
          <w:b w:val="0"/>
          <w:bCs w:val="0"/>
          <w:color w:val="000000"/>
          <w:sz w:val="32"/>
          <w:szCs w:val="32"/>
          <w:lang w:val="en-US" w:eastAsia="zh-CN"/>
        </w:rPr>
        <w:t>是</w:t>
      </w:r>
      <w:r>
        <w:rPr>
          <w:rFonts w:hint="eastAsia" w:ascii="仿宋" w:hAnsi="仿宋" w:eastAsia="仿宋" w:cs="仿宋"/>
          <w:b w:val="0"/>
          <w:bCs w:val="0"/>
          <w:color w:val="000000"/>
          <w:sz w:val="32"/>
          <w:szCs w:val="32"/>
          <w:lang w:val="en-US" w:eastAsia="zh-CN"/>
        </w:rPr>
        <w:t>明确</w:t>
      </w:r>
      <w:r>
        <w:rPr>
          <w:rFonts w:hint="default" w:ascii="仿宋" w:hAnsi="仿宋" w:eastAsia="仿宋" w:cs="仿宋"/>
          <w:b w:val="0"/>
          <w:bCs w:val="0"/>
          <w:color w:val="000000"/>
          <w:sz w:val="32"/>
          <w:szCs w:val="32"/>
          <w:lang w:val="en-US" w:eastAsia="zh-CN"/>
        </w:rPr>
        <w:t>支出型医疗救助对象</w:t>
      </w:r>
      <w:r>
        <w:rPr>
          <w:rFonts w:hint="eastAsia" w:ascii="仿宋" w:hAnsi="仿宋" w:eastAsia="仿宋" w:cs="仿宋"/>
          <w:b w:val="0"/>
          <w:bCs w:val="0"/>
          <w:color w:val="000000"/>
          <w:sz w:val="32"/>
          <w:szCs w:val="32"/>
          <w:lang w:val="en-US" w:eastAsia="zh-CN"/>
        </w:rPr>
        <w:t>救助标准</w:t>
      </w:r>
      <w:r>
        <w:rPr>
          <w:rFonts w:hint="default" w:ascii="仿宋" w:hAnsi="仿宋" w:eastAsia="仿宋" w:cs="仿宋"/>
          <w:b w:val="0"/>
          <w:bCs w:val="0"/>
          <w:color w:val="000000"/>
          <w:sz w:val="32"/>
          <w:szCs w:val="32"/>
          <w:lang w:val="en-US" w:eastAsia="zh-CN"/>
        </w:rPr>
        <w:t>。按70%的比例予以救助，年度救助起付标准为我市上上年度居民年人均可支配收入的25%，年度救助限额为12万元。</w:t>
      </w:r>
    </w:p>
    <w:p>
      <w:pPr>
        <w:ind w:firstLine="640" w:firstLineChars="200"/>
        <w:jc w:val="both"/>
        <w:rPr>
          <w:rFonts w:hint="default"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四</w:t>
      </w:r>
      <w:r>
        <w:rPr>
          <w:rFonts w:hint="default" w:ascii="仿宋" w:hAnsi="仿宋" w:eastAsia="仿宋" w:cs="仿宋"/>
          <w:b w:val="0"/>
          <w:bCs w:val="0"/>
          <w:color w:val="000000"/>
          <w:sz w:val="32"/>
          <w:szCs w:val="32"/>
          <w:lang w:val="en-US" w:eastAsia="zh-CN"/>
        </w:rPr>
        <w:t>是</w:t>
      </w:r>
      <w:r>
        <w:rPr>
          <w:rFonts w:hint="eastAsia" w:ascii="仿宋" w:hAnsi="仿宋" w:eastAsia="仿宋" w:cs="仿宋"/>
          <w:b w:val="0"/>
          <w:bCs w:val="0"/>
          <w:color w:val="000000"/>
          <w:sz w:val="32"/>
          <w:szCs w:val="32"/>
          <w:lang w:val="en-US" w:eastAsia="zh-CN"/>
        </w:rPr>
        <w:t>明确</w:t>
      </w:r>
      <w:r>
        <w:rPr>
          <w:rFonts w:hint="default" w:ascii="仿宋" w:hAnsi="仿宋" w:eastAsia="仿宋" w:cs="仿宋"/>
          <w:b w:val="0"/>
          <w:bCs w:val="0"/>
          <w:color w:val="000000"/>
          <w:sz w:val="32"/>
          <w:szCs w:val="32"/>
          <w:lang w:val="en-US" w:eastAsia="zh-CN"/>
        </w:rPr>
        <w:t>经三重制度综合保障后政策范围内个人负担仍然较重的，给予倾斜救助。个人负担的合规医疗费用以及年度救助限额以上的政策范围内医疗费用达到我市上上年度居民年人均可支配收入25%的，超过我市上上年度居民年人均可支配收入25%以上部分由医疗救助基金进行倾斜救助，支付比例为80%，倾斜救助年度救助限额为5万元。</w:t>
      </w:r>
    </w:p>
    <w:p>
      <w:pPr>
        <w:ind w:firstLine="640" w:firstLineChars="200"/>
        <w:jc w:val="both"/>
        <w:rPr>
          <w:rFonts w:hint="default"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五是明确</w:t>
      </w:r>
      <w:r>
        <w:rPr>
          <w:rFonts w:hint="default" w:ascii="仿宋" w:hAnsi="仿宋" w:eastAsia="仿宋" w:cs="仿宋"/>
          <w:b w:val="0"/>
          <w:bCs w:val="0"/>
          <w:color w:val="000000"/>
          <w:sz w:val="32"/>
          <w:szCs w:val="32"/>
          <w:lang w:val="en-US" w:eastAsia="zh-CN"/>
        </w:rPr>
        <w:t>按规定办理转诊的医疗救助对象，市外就医救助标准按市内就医标准执行；未按规定办理转诊的医疗救助对象，所发生的医疗费用不纳入医疗救助范围</w:t>
      </w:r>
      <w:r>
        <w:rPr>
          <w:rFonts w:hint="eastAsia" w:ascii="仿宋" w:hAnsi="仿宋" w:eastAsia="仿宋" w:cs="仿宋"/>
          <w:b w:val="0"/>
          <w:bCs w:val="0"/>
          <w:color w:val="000000"/>
          <w:sz w:val="32"/>
          <w:szCs w:val="32"/>
          <w:lang w:val="en-US" w:eastAsia="zh-CN"/>
        </w:rPr>
        <w:t>。</w:t>
      </w:r>
    </w:p>
    <w:p>
      <w:pPr>
        <w:ind w:firstLine="643" w:firstLineChars="200"/>
        <w:jc w:val="both"/>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（四）关于服务管理</w:t>
      </w:r>
    </w:p>
    <w:p>
      <w:pPr>
        <w:ind w:firstLine="640" w:firstLineChars="200"/>
        <w:jc w:val="both"/>
        <w:rPr>
          <w:rFonts w:hint="default" w:ascii="仿宋" w:hAnsi="仿宋" w:eastAsia="仿宋" w:cs="仿宋"/>
          <w:b w:val="0"/>
          <w:bCs w:val="0"/>
          <w:color w:val="000000"/>
          <w:sz w:val="32"/>
          <w:szCs w:val="32"/>
          <w:lang w:val="en-US" w:eastAsia="zh-CN"/>
        </w:rPr>
      </w:pPr>
      <w:r>
        <w:rPr>
          <w:rFonts w:hint="default" w:ascii="仿宋" w:hAnsi="仿宋" w:eastAsia="仿宋" w:cs="仿宋"/>
          <w:b w:val="0"/>
          <w:bCs w:val="0"/>
          <w:color w:val="000000"/>
          <w:sz w:val="32"/>
          <w:szCs w:val="32"/>
          <w:lang w:val="en-US" w:eastAsia="zh-CN"/>
        </w:rPr>
        <w:t>一是“一站式”结算。医疗救助对象在定点医药机构就医，实行基本医保、补充医疗保险、医疗救助“一站式”结算服务。</w:t>
      </w:r>
    </w:p>
    <w:p>
      <w:pPr>
        <w:ind w:firstLine="640" w:firstLineChars="200"/>
        <w:jc w:val="both"/>
        <w:rPr>
          <w:rFonts w:hint="default" w:ascii="仿宋" w:hAnsi="仿宋" w:eastAsia="仿宋" w:cs="仿宋"/>
          <w:b w:val="0"/>
          <w:bCs w:val="0"/>
          <w:color w:val="000000"/>
          <w:sz w:val="32"/>
          <w:szCs w:val="32"/>
          <w:lang w:val="en-US" w:eastAsia="zh-CN"/>
        </w:rPr>
      </w:pPr>
      <w:r>
        <w:rPr>
          <w:rFonts w:hint="default" w:ascii="仿宋" w:hAnsi="仿宋" w:eastAsia="仿宋" w:cs="仿宋"/>
          <w:b w:val="0"/>
          <w:bCs w:val="0"/>
          <w:color w:val="000000"/>
          <w:sz w:val="32"/>
          <w:szCs w:val="32"/>
          <w:lang w:val="en-US" w:eastAsia="zh-CN"/>
        </w:rPr>
        <w:t>二是规范诊疗。收入型医疗救助对象在定点医疗机构住院的，定点医疗机构应当核实其医疗救助对象的资格，实行“先诊疗后付费”。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047D5AC-373B-4F1C-9A3E-6D481DBEF57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panose1 w:val="02000500000000000000"/>
    <w:charset w:val="86"/>
    <w:family w:val="auto"/>
    <w:pitch w:val="default"/>
    <w:sig w:usb0="A00002BF" w:usb1="38CF7CFA" w:usb2="00000016" w:usb3="00000000" w:csb0="00040001" w:csb1="00000000"/>
    <w:embedRegular r:id="rId2" w:fontKey="{BF4DBF20-9A4E-4872-BD2E-E30C68210B1A}"/>
  </w:font>
  <w:font w:name="仿宋">
    <w:panose1 w:val="02010609060101010101"/>
    <w:charset w:val="86"/>
    <w:family w:val="auto"/>
    <w:pitch w:val="default"/>
    <w:sig w:usb0="800002BF" w:usb1="38CF7CFA" w:usb2="00000016" w:usb3="00000000" w:csb0="00040001" w:csb1="00000000"/>
    <w:embedRegular r:id="rId3" w:fontKey="{EF66D5E5-B584-4581-B8BA-7ECA9640845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yYTQxNzg5Y2NjYTk0MWRjYzA1MjZmZjJmZjBhZGQifQ=="/>
  </w:docVars>
  <w:rsids>
    <w:rsidRoot w:val="39BB0548"/>
    <w:rsid w:val="03D33559"/>
    <w:rsid w:val="04035C87"/>
    <w:rsid w:val="0FC56434"/>
    <w:rsid w:val="16021724"/>
    <w:rsid w:val="179E3A27"/>
    <w:rsid w:val="1EAC4C7B"/>
    <w:rsid w:val="21F703DC"/>
    <w:rsid w:val="278B7B24"/>
    <w:rsid w:val="28F7508D"/>
    <w:rsid w:val="2B1E0CAF"/>
    <w:rsid w:val="39BB0548"/>
    <w:rsid w:val="3C9734E2"/>
    <w:rsid w:val="42417305"/>
    <w:rsid w:val="42D66DCA"/>
    <w:rsid w:val="43655275"/>
    <w:rsid w:val="477607E6"/>
    <w:rsid w:val="498E6EB7"/>
    <w:rsid w:val="4B7D6ED4"/>
    <w:rsid w:val="4BE80C96"/>
    <w:rsid w:val="54085ED4"/>
    <w:rsid w:val="54451EC0"/>
    <w:rsid w:val="563C00B7"/>
    <w:rsid w:val="56940006"/>
    <w:rsid w:val="69B40DC4"/>
    <w:rsid w:val="79AC70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2024-01-04T01:51:00Z</dcterms:created>
  <dc:creator>WPS</dc:creator>
  <cp:lastModifiedBy>WPS</cp:lastModifiedBy>
  <dcterms:modified xsi:type="dcterms:W3CDTF">2024-01-11T08:08:50Z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6B063B263E8646BF9309DA2EC9C0A199_11</vt:lpwstr>
  </property>
</Properties>
</file>