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黑体" w:hAnsi="黑体" w:eastAsia="黑体" w:cs="黑体"/>
          <w:sz w:val="34"/>
          <w:szCs w:val="34"/>
          <w:lang w:val="en-US" w:eastAsia="zh-CN"/>
        </w:rPr>
      </w:pPr>
      <w:bookmarkStart w:id="0" w:name="_GoBack"/>
      <w:bookmarkEnd w:id="0"/>
      <w:r>
        <w:rPr>
          <w:rFonts w:hint="eastAsia" w:ascii="黑体" w:hAnsi="黑体" w:eastAsia="黑体" w:cs="黑体"/>
          <w:sz w:val="34"/>
          <w:szCs w:val="34"/>
          <w:lang w:val="en-US" w:eastAsia="zh-CN"/>
        </w:rPr>
        <w:t>附件1</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方正仿宋简体" w:eastAsia="方正仿宋简体" w:cs="方正仿宋简体"/>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jc w:val="center"/>
        <w:textAlignment w:val="auto"/>
        <w:rPr>
          <w:rFonts w:hint="eastAsia" w:ascii="方正小标宋简体" w:eastAsia="方正小标宋简体" w:cs="方正小标宋简体"/>
          <w:sz w:val="44"/>
          <w:szCs w:val="44"/>
          <w:lang w:eastAsia="zh-CN"/>
        </w:rPr>
      </w:pPr>
      <w:r>
        <w:rPr>
          <w:rFonts w:hint="eastAsia" w:ascii="方正小标宋简体" w:eastAsia="方正小标宋简体" w:cs="方正小标宋简体"/>
          <w:sz w:val="44"/>
          <w:szCs w:val="44"/>
          <w:lang w:val="en-US" w:eastAsia="zh-CN"/>
        </w:rPr>
        <w:t>2024年</w:t>
      </w:r>
      <w:r>
        <w:rPr>
          <w:rFonts w:hint="eastAsia" w:ascii="方正小标宋简体" w:eastAsia="方正小标宋简体" w:cs="方正小标宋简体"/>
          <w:sz w:val="44"/>
          <w:szCs w:val="44"/>
          <w:lang w:eastAsia="zh-CN"/>
        </w:rPr>
        <w:t>阳江市“百千万工程”研究课题</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firstLine="680" w:firstLineChars="200"/>
        <w:jc w:val="both"/>
        <w:textAlignment w:val="auto"/>
        <w:rPr>
          <w:rFonts w:hint="eastAsia" w:ascii="黑体" w:eastAsia="黑体" w:cs="黑体"/>
          <w:b w:val="0"/>
          <w:bCs w:val="0"/>
          <w:sz w:val="34"/>
          <w:szCs w:val="34"/>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firstLine="680" w:firstLineChars="200"/>
        <w:jc w:val="both"/>
        <w:textAlignment w:val="auto"/>
        <w:rPr>
          <w:rFonts w:ascii="黑体" w:eastAsia="黑体" w:cs="黑体"/>
          <w:b w:val="0"/>
          <w:bCs w:val="0"/>
          <w:sz w:val="34"/>
          <w:szCs w:val="34"/>
          <w:lang w:val="en-US" w:eastAsia="zh-CN"/>
        </w:rPr>
      </w:pPr>
      <w:r>
        <w:rPr>
          <w:rFonts w:hint="eastAsia" w:ascii="黑体" w:eastAsia="黑体" w:cs="黑体"/>
          <w:b w:val="0"/>
          <w:bCs w:val="0"/>
          <w:sz w:val="34"/>
          <w:szCs w:val="34"/>
          <w:lang w:val="en-US" w:eastAsia="zh-CN"/>
        </w:rPr>
        <w:t>一、阳江发展新质生产力路径研究</w:t>
      </w:r>
    </w:p>
    <w:p>
      <w:pPr>
        <w:keepNext w:val="0"/>
        <w:keepLines w:val="0"/>
        <w:pageBreakBefore w:val="0"/>
        <w:widowControl w:val="0"/>
        <w:kinsoku/>
        <w:wordWrap/>
        <w:overflowPunct/>
        <w:topLinePunct w:val="0"/>
        <w:autoSpaceDE/>
        <w:autoSpaceDN/>
        <w:bidi w:val="0"/>
        <w:adjustRightInd/>
        <w:snapToGrid/>
        <w:spacing w:line="594" w:lineRule="exact"/>
        <w:ind w:left="0" w:firstLine="680" w:firstLineChars="200"/>
        <w:jc w:val="both"/>
        <w:textAlignment w:val="auto"/>
        <w:rPr>
          <w:rFonts w:ascii="方正仿宋简体" w:eastAsia="方正仿宋简体" w:cs="方正仿宋简体"/>
          <w:sz w:val="34"/>
          <w:szCs w:val="34"/>
          <w:lang w:val="en-US" w:eastAsia="zh-CN"/>
        </w:rPr>
      </w:pPr>
      <w:r>
        <w:rPr>
          <w:rFonts w:hint="eastAsia" w:ascii="方正仿宋简体" w:eastAsia="方正仿宋简体" w:cs="方正仿宋简体"/>
          <w:sz w:val="34"/>
          <w:szCs w:val="34"/>
          <w:lang w:val="en-US" w:eastAsia="zh-CN"/>
        </w:rPr>
        <w:t>重点研究：</w:t>
      </w:r>
      <w:r>
        <w:rPr>
          <w:rFonts w:ascii="方正仿宋简体" w:eastAsia="方正仿宋简体" w:cs="方正仿宋简体"/>
          <w:sz w:val="34"/>
          <w:szCs w:val="34"/>
          <w:lang w:val="en-US" w:eastAsia="zh-CN"/>
        </w:rPr>
        <w:t>立足阳江发展实际，根据阳江资源禀赋、产业基础、科研条件等，</w:t>
      </w:r>
      <w:r>
        <w:rPr>
          <w:rFonts w:hint="eastAsia" w:ascii="方正仿宋简体" w:eastAsia="方正仿宋简体" w:cs="方正仿宋简体"/>
          <w:sz w:val="34"/>
          <w:szCs w:val="34"/>
          <w:lang w:val="en-US" w:eastAsia="zh-CN"/>
        </w:rPr>
        <w:t>研究梳理影响阳江发展新质生产力的政策环境、市场需求、技术创新和人力资源等因素，</w:t>
      </w:r>
      <w:r>
        <w:rPr>
          <w:rFonts w:ascii="方正仿宋简体" w:eastAsia="方正仿宋简体" w:cs="方正仿宋简体"/>
          <w:sz w:val="34"/>
          <w:szCs w:val="34"/>
          <w:lang w:val="en-US" w:eastAsia="zh-CN"/>
        </w:rPr>
        <w:t>找准新产业、新模式、新动能发展的具体路径，</w:t>
      </w:r>
      <w:r>
        <w:rPr>
          <w:rFonts w:hint="eastAsia" w:ascii="方正仿宋简体" w:eastAsia="方正仿宋简体" w:cs="方正仿宋简体"/>
          <w:sz w:val="34"/>
          <w:szCs w:val="34"/>
          <w:lang w:val="en-US" w:eastAsia="zh-CN"/>
        </w:rPr>
        <w:t>提出阳江发展新质生产力的重点方向、总体思路、重点任务和政策举措。</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firstLine="680" w:firstLineChars="200"/>
        <w:jc w:val="both"/>
        <w:textAlignment w:val="auto"/>
        <w:rPr>
          <w:rFonts w:ascii="黑体" w:eastAsia="黑体" w:cs="黑体"/>
          <w:b w:val="0"/>
          <w:bCs w:val="0"/>
          <w:sz w:val="34"/>
          <w:szCs w:val="34"/>
          <w:lang w:val="en-US" w:eastAsia="zh-CN"/>
        </w:rPr>
      </w:pPr>
      <w:r>
        <w:rPr>
          <w:rFonts w:hint="eastAsia" w:ascii="黑体" w:eastAsia="黑体" w:cs="黑体"/>
          <w:b w:val="0"/>
          <w:bCs w:val="0"/>
          <w:sz w:val="34"/>
          <w:szCs w:val="34"/>
          <w:lang w:val="en-US" w:eastAsia="zh-CN"/>
        </w:rPr>
        <w:t>二、阳江市优化营商环境问题与对策研究</w:t>
      </w:r>
    </w:p>
    <w:p>
      <w:pPr>
        <w:keepNext w:val="0"/>
        <w:keepLines w:val="0"/>
        <w:pageBreakBefore w:val="0"/>
        <w:widowControl w:val="0"/>
        <w:kinsoku/>
        <w:wordWrap/>
        <w:overflowPunct/>
        <w:topLinePunct w:val="0"/>
        <w:autoSpaceDE/>
        <w:autoSpaceDN/>
        <w:bidi w:val="0"/>
        <w:adjustRightInd/>
        <w:snapToGrid/>
        <w:spacing w:line="594" w:lineRule="exact"/>
        <w:ind w:left="0" w:firstLine="680" w:firstLineChars="200"/>
        <w:jc w:val="both"/>
        <w:textAlignment w:val="auto"/>
        <w:rPr>
          <w:rFonts w:ascii="方正仿宋简体" w:eastAsia="方正仿宋简体" w:cs="方正仿宋简体"/>
          <w:sz w:val="34"/>
          <w:szCs w:val="34"/>
          <w:lang w:val="en-US" w:eastAsia="zh-CN"/>
        </w:rPr>
      </w:pPr>
      <w:r>
        <w:rPr>
          <w:rFonts w:hint="eastAsia" w:ascii="方正仿宋简体" w:eastAsia="方正仿宋简体" w:cs="方正仿宋简体"/>
          <w:sz w:val="34"/>
          <w:szCs w:val="34"/>
          <w:lang w:val="en-US" w:eastAsia="zh-CN"/>
        </w:rPr>
        <w:t>重点研究：聚焦阳江市优化营商环境过程中的重点难点问题和政策落实中的薄弱环节，结合当前阳江</w:t>
      </w:r>
      <w:r>
        <w:rPr>
          <w:rFonts w:ascii="方正仿宋简体" w:eastAsia="方正仿宋简体" w:cs="方正仿宋简体"/>
          <w:sz w:val="34"/>
          <w:szCs w:val="34"/>
          <w:lang w:val="en-US" w:eastAsia="zh-CN"/>
        </w:rPr>
        <w:t>营商环境建设年</w:t>
      </w:r>
      <w:r>
        <w:rPr>
          <w:rFonts w:hint="eastAsia" w:ascii="方正仿宋简体" w:eastAsia="方正仿宋简体" w:cs="方正仿宋简体"/>
          <w:sz w:val="34"/>
          <w:szCs w:val="34"/>
          <w:lang w:val="en-US" w:eastAsia="zh-CN"/>
        </w:rPr>
        <w:t>取得的成效及</w:t>
      </w:r>
      <w:r>
        <w:rPr>
          <w:rFonts w:ascii="方正仿宋简体" w:eastAsia="方正仿宋简体" w:cs="方正仿宋简体"/>
          <w:sz w:val="34"/>
          <w:szCs w:val="34"/>
          <w:lang w:val="en-US" w:eastAsia="zh-CN"/>
        </w:rPr>
        <w:t>发展</w:t>
      </w:r>
      <w:r>
        <w:rPr>
          <w:rFonts w:hint="eastAsia" w:ascii="方正仿宋简体" w:eastAsia="方正仿宋简体" w:cs="方正仿宋简体"/>
          <w:sz w:val="34"/>
          <w:szCs w:val="34"/>
          <w:lang w:val="en-US" w:eastAsia="zh-CN"/>
        </w:rPr>
        <w:t>要求，</w:t>
      </w:r>
      <w:r>
        <w:rPr>
          <w:rFonts w:ascii="方正仿宋简体" w:eastAsia="方正仿宋简体" w:cs="方正仿宋简体"/>
          <w:sz w:val="34"/>
          <w:szCs w:val="34"/>
          <w:lang w:val="en-US" w:eastAsia="zh-CN"/>
        </w:rPr>
        <w:t>总结分析先进地区营商环境建设经验，</w:t>
      </w:r>
      <w:r>
        <w:rPr>
          <w:rFonts w:hint="eastAsia" w:ascii="方正仿宋简体" w:eastAsia="方正仿宋简体" w:cs="方正仿宋简体"/>
          <w:sz w:val="34"/>
          <w:szCs w:val="34"/>
          <w:lang w:val="en-US" w:eastAsia="zh-CN"/>
        </w:rPr>
        <w:t>提出</w:t>
      </w:r>
      <w:r>
        <w:rPr>
          <w:rFonts w:ascii="方正仿宋简体" w:eastAsia="方正仿宋简体" w:cs="方正仿宋简体"/>
          <w:sz w:val="34"/>
          <w:szCs w:val="34"/>
          <w:lang w:val="en-US" w:eastAsia="zh-CN"/>
        </w:rPr>
        <w:t>阳江打造市场化、法治化、国际化</w:t>
      </w:r>
      <w:r>
        <w:rPr>
          <w:rFonts w:hint="eastAsia" w:ascii="方正仿宋简体" w:eastAsia="方正仿宋简体" w:cs="方正仿宋简体"/>
          <w:sz w:val="34"/>
          <w:szCs w:val="34"/>
          <w:lang w:val="en-US" w:eastAsia="zh-CN"/>
        </w:rPr>
        <w:t>营商环境的建设路线图和任务书。</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firstLine="680" w:firstLineChars="200"/>
        <w:jc w:val="both"/>
        <w:textAlignment w:val="auto"/>
        <w:rPr>
          <w:rFonts w:hint="eastAsia" w:ascii="黑体" w:eastAsia="黑体" w:cs="黑体"/>
          <w:b w:val="0"/>
          <w:bCs w:val="0"/>
          <w:sz w:val="34"/>
          <w:szCs w:val="34"/>
          <w:lang w:val="en-US" w:eastAsia="zh-CN"/>
        </w:rPr>
      </w:pPr>
      <w:r>
        <w:rPr>
          <w:rFonts w:hint="eastAsia" w:ascii="黑体" w:eastAsia="黑体" w:cs="黑体"/>
          <w:b w:val="0"/>
          <w:bCs w:val="0"/>
          <w:sz w:val="34"/>
          <w:szCs w:val="34"/>
          <w:lang w:val="en-US" w:eastAsia="zh-CN"/>
        </w:rPr>
        <w:t>三、阳江市全域土地综合整治模式和投入机制研究</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firstLine="680" w:firstLineChars="200"/>
        <w:jc w:val="both"/>
        <w:textAlignment w:val="auto"/>
        <w:rPr>
          <w:rFonts w:hint="eastAsia" w:ascii="方正仿宋简体" w:eastAsia="方正仿宋简体" w:cs="方正仿宋简体"/>
          <w:sz w:val="34"/>
          <w:szCs w:val="34"/>
        </w:rPr>
      </w:pPr>
      <w:r>
        <w:rPr>
          <w:rFonts w:hint="eastAsia" w:ascii="方正仿宋简体" w:eastAsia="方正仿宋简体" w:cs="方正仿宋简体"/>
          <w:sz w:val="34"/>
          <w:szCs w:val="34"/>
        </w:rPr>
        <w:t>重点研究：</w:t>
      </w:r>
      <w:r>
        <w:rPr>
          <w:rFonts w:hint="eastAsia" w:ascii="方正仿宋简体" w:eastAsia="方正仿宋简体" w:cs="方正仿宋简体"/>
          <w:sz w:val="34"/>
          <w:szCs w:val="34"/>
          <w:lang w:eastAsia="zh-CN"/>
        </w:rPr>
        <w:t>总结评估阳西县织篢镇全域土地综合整治试点经验，研究符合阳江实际的整治模式，解决</w:t>
      </w:r>
      <w:r>
        <w:rPr>
          <w:rFonts w:hint="eastAsia" w:ascii="方正仿宋简体" w:eastAsia="方正仿宋简体" w:cs="方正仿宋简体"/>
          <w:sz w:val="34"/>
          <w:szCs w:val="34"/>
          <w:lang w:val="en-US" w:eastAsia="zh-CN"/>
        </w:rPr>
        <w:t>政策制定和项目实施中出现的问题，优化政府投入机制，构建社会资本合理的项目回报机制，促进全域土地综合整治扩面提质。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94" w:lineRule="exact"/>
        <w:ind w:leftChars="0" w:firstLine="680" w:firstLineChars="200"/>
        <w:jc w:val="both"/>
        <w:textAlignment w:val="auto"/>
        <w:rPr>
          <w:rFonts w:hint="eastAsia" w:ascii="黑体" w:eastAsia="黑体" w:cs="黑体"/>
          <w:b w:val="0"/>
          <w:bCs w:val="0"/>
          <w:sz w:val="34"/>
          <w:szCs w:val="34"/>
          <w:lang w:val="en-US" w:eastAsia="zh-CN"/>
        </w:rPr>
      </w:pPr>
      <w:r>
        <w:rPr>
          <w:rFonts w:hint="eastAsia" w:ascii="黑体" w:eastAsia="黑体" w:cs="黑体"/>
          <w:b w:val="0"/>
          <w:bCs w:val="0"/>
          <w:sz w:val="34"/>
          <w:szCs w:val="34"/>
          <w:lang w:val="en-US" w:eastAsia="zh-CN"/>
        </w:rPr>
        <w:t>四、阳江市农村集体经济发展模式创新研究</w:t>
      </w:r>
    </w:p>
    <w:p>
      <w:pPr>
        <w:keepNext w:val="0"/>
        <w:keepLines w:val="0"/>
        <w:pageBreakBefore w:val="0"/>
        <w:widowControl w:val="0"/>
        <w:kinsoku/>
        <w:wordWrap/>
        <w:overflowPunct/>
        <w:topLinePunct w:val="0"/>
        <w:autoSpaceDE/>
        <w:autoSpaceDN/>
        <w:bidi w:val="0"/>
        <w:adjustRightInd/>
        <w:snapToGrid/>
        <w:spacing w:line="594" w:lineRule="exact"/>
        <w:ind w:left="0" w:firstLine="680" w:firstLineChars="200"/>
        <w:jc w:val="both"/>
        <w:textAlignment w:val="auto"/>
        <w:rPr>
          <w:rFonts w:hint="eastAsia" w:ascii="方正仿宋简体" w:eastAsia="方正仿宋简体" w:cs="方正仿宋简体"/>
          <w:sz w:val="34"/>
          <w:szCs w:val="34"/>
          <w:lang w:val="en-US" w:eastAsia="zh-CN"/>
        </w:rPr>
      </w:pPr>
      <w:r>
        <w:rPr>
          <w:rFonts w:hint="eastAsia" w:ascii="方正仿宋简体" w:eastAsia="方正仿宋简体" w:cs="方正仿宋简体"/>
          <w:sz w:val="34"/>
          <w:szCs w:val="34"/>
          <w:lang w:val="en-US" w:eastAsia="zh-CN"/>
        </w:rPr>
        <w:t>重点研究：在总结阳东区新型农村集体经济改革试点经验基础上，进一步梳理资源发包、物业出租、居间服务、资产参股等新型农村集体经济发展案例和经验成效，分析面临的新趋势新挑战，在防止集体资产流失、严控集体经营风险的前提下，研究提出阳江发展壮大新型农村集体经济的新路径新模式。</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94" w:lineRule="exact"/>
        <w:ind w:right="0" w:firstLine="680" w:firstLineChars="200"/>
        <w:jc w:val="both"/>
        <w:textAlignment w:val="auto"/>
        <w:rPr>
          <w:rFonts w:hint="eastAsia" w:ascii="黑体" w:hAnsi="黑体" w:eastAsia="黑体" w:cs="黑体"/>
          <w:b w:val="0"/>
          <w:bCs w:val="0"/>
          <w:kern w:val="2"/>
          <w:sz w:val="34"/>
          <w:szCs w:val="34"/>
          <w:lang w:val="en-US" w:eastAsia="zh-CN" w:bidi="ar-SA"/>
        </w:rPr>
      </w:pPr>
      <w:r>
        <w:rPr>
          <w:rFonts w:hint="eastAsia" w:ascii="黑体" w:hAnsi="黑体" w:eastAsia="黑体" w:cs="黑体"/>
          <w:b w:val="0"/>
          <w:bCs w:val="0"/>
          <w:kern w:val="2"/>
          <w:sz w:val="34"/>
          <w:szCs w:val="34"/>
          <w:lang w:val="en-US" w:eastAsia="zh-CN" w:bidi="ar-SA"/>
        </w:rPr>
        <w:t>五、阳江扩权强县和市直管镇体制机制改革研究</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firstLine="680" w:firstLineChars="200"/>
        <w:jc w:val="both"/>
        <w:textAlignment w:val="auto"/>
        <w:rPr>
          <w:rFonts w:hint="eastAsia" w:ascii="方正仿宋简体" w:hAnsi="方正仿宋简体" w:eastAsia="方正仿宋简体" w:cs="方正仿宋简体"/>
          <w:sz w:val="34"/>
          <w:szCs w:val="34"/>
        </w:rPr>
      </w:pPr>
      <w:r>
        <w:rPr>
          <w:rFonts w:hint="eastAsia" w:ascii="方正仿宋简体" w:hAnsi="方正仿宋简体" w:eastAsia="方正仿宋简体" w:cs="方正仿宋简体"/>
          <w:sz w:val="34"/>
          <w:szCs w:val="34"/>
        </w:rPr>
        <w:t>重点研究：坚持县“点菜”，市“上菜”的方式，梳理一批市级经济社会管理权限下放到县，建立与事权下放相衔接的编制、资金、技术等保障机制，确保权限放得下、接得住、接的好。探索市对镇街扁平化管理体制，赋予有条件的经济强镇县级经济社会管理权限，处理好“条”与“块”的关系，不断增强镇级综合服务功能。</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94" w:lineRule="exact"/>
        <w:ind w:right="0" w:rightChars="0" w:firstLine="680" w:firstLineChars="200"/>
        <w:jc w:val="both"/>
        <w:textAlignment w:val="auto"/>
        <w:rPr>
          <w:rFonts w:hint="eastAsia" w:ascii="黑体" w:hAnsi="黑体" w:eastAsia="黑体" w:cs="黑体"/>
          <w:b w:val="0"/>
          <w:bCs w:val="0"/>
          <w:kern w:val="2"/>
          <w:sz w:val="34"/>
          <w:szCs w:val="34"/>
          <w:lang w:val="en-US" w:eastAsia="zh-CN" w:bidi="ar-SA"/>
        </w:rPr>
      </w:pPr>
      <w:r>
        <w:rPr>
          <w:rFonts w:hint="eastAsia" w:ascii="黑体" w:hAnsi="黑体" w:eastAsia="黑体" w:cs="黑体"/>
          <w:b w:val="0"/>
          <w:bCs w:val="0"/>
          <w:kern w:val="2"/>
          <w:sz w:val="34"/>
          <w:szCs w:val="34"/>
          <w:lang w:val="en-US" w:eastAsia="zh-CN" w:bidi="ar-SA"/>
        </w:rPr>
        <w:t>六、绿美阳江生态建设与县镇村风貌提升研究</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4" w:lineRule="exact"/>
        <w:ind w:left="0" w:right="0" w:firstLine="680" w:firstLineChars="200"/>
        <w:jc w:val="both"/>
        <w:textAlignment w:val="auto"/>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2"/>
          <w:sz w:val="34"/>
          <w:szCs w:val="34"/>
          <w:lang w:val="en-US" w:eastAsia="zh-CN" w:bidi="ar"/>
        </w:rPr>
        <w:t>重点研究：梳理绿美阳江生态建设相关实践，建立健全社会资本参与绿美阳江生态建设机制，找出阳江市现有县镇村风貌的优势基础与存在问题，借鉴国内外经典模式，探索阳江市提升和塑造岭南滨海特色的</w:t>
      </w:r>
      <w:r>
        <w:rPr>
          <w:rFonts w:hint="default" w:ascii="方正仿宋简体" w:hAnsi="方正仿宋简体" w:eastAsia="方正仿宋简体" w:cs="方正仿宋简体"/>
          <w:kern w:val="2"/>
          <w:sz w:val="34"/>
          <w:szCs w:val="34"/>
          <w:lang w:val="en-US" w:eastAsia="zh-CN" w:bidi="ar"/>
        </w:rPr>
        <w:t>县镇村风貌</w:t>
      </w:r>
      <w:r>
        <w:rPr>
          <w:rFonts w:hint="eastAsia" w:ascii="方正仿宋简体" w:hAnsi="方正仿宋简体" w:eastAsia="方正仿宋简体" w:cs="方正仿宋简体"/>
          <w:kern w:val="2"/>
          <w:sz w:val="34"/>
          <w:szCs w:val="34"/>
          <w:lang w:val="en-US" w:eastAsia="zh-CN" w:bidi="ar"/>
        </w:rPr>
        <w:t>路径，建设湾区时代背景下、适应阳江乡村特征的城乡融合发展新典范，并提出适宜的政府、企业、村、专业团队多方联动与分工协作建议。</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94" w:lineRule="exact"/>
        <w:ind w:right="0" w:rightChars="0" w:firstLine="680" w:firstLineChars="200"/>
        <w:jc w:val="both"/>
        <w:textAlignment w:val="auto"/>
        <w:rPr>
          <w:rFonts w:hint="eastAsia" w:ascii="黑体" w:hAnsi="黑体" w:eastAsia="黑体" w:cs="黑体"/>
          <w:b w:val="0"/>
          <w:bCs w:val="0"/>
          <w:kern w:val="2"/>
          <w:sz w:val="34"/>
          <w:szCs w:val="34"/>
          <w:lang w:val="en-US" w:eastAsia="zh-CN" w:bidi="ar-SA"/>
        </w:rPr>
      </w:pPr>
      <w:r>
        <w:rPr>
          <w:rFonts w:hint="eastAsia" w:ascii="黑体" w:hAnsi="黑体" w:eastAsia="黑体" w:cs="黑体"/>
          <w:b w:val="0"/>
          <w:bCs w:val="0"/>
          <w:kern w:val="2"/>
          <w:sz w:val="34"/>
          <w:szCs w:val="34"/>
          <w:lang w:val="en-US" w:eastAsia="zh-CN" w:bidi="ar-SA"/>
        </w:rPr>
        <w:t>七、能源企业与地方融合发展模式研究</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4" w:lineRule="exact"/>
        <w:ind w:left="0" w:right="0" w:firstLine="680" w:firstLineChars="200"/>
        <w:jc w:val="both"/>
        <w:textAlignment w:val="auto"/>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2"/>
          <w:sz w:val="34"/>
          <w:szCs w:val="34"/>
          <w:lang w:val="en-US" w:eastAsia="zh-CN" w:bidi="ar"/>
        </w:rPr>
        <w:t>重点研究：立足能源企业特点，结合企业所在地资源禀赋实际和阳江市“百千万工程”整体规划，研究能源企业与地方如何在共融中实现共荣，提出企地融合发展最佳路径，并推动形成适应企业发展的政策举措，实现企地双赢，打造融合发展和百千万典型示范。</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94" w:lineRule="exact"/>
        <w:ind w:right="0" w:rightChars="0" w:firstLine="680" w:firstLineChars="200"/>
        <w:jc w:val="both"/>
        <w:textAlignment w:val="auto"/>
        <w:rPr>
          <w:rFonts w:hint="eastAsia" w:ascii="黑体" w:hAnsi="黑体" w:eastAsia="黑体" w:cs="黑体"/>
          <w:b w:val="0"/>
          <w:bCs w:val="0"/>
          <w:kern w:val="2"/>
          <w:sz w:val="34"/>
          <w:szCs w:val="34"/>
          <w:lang w:val="en-US" w:eastAsia="zh-CN" w:bidi="ar-SA"/>
        </w:rPr>
      </w:pPr>
      <w:r>
        <w:rPr>
          <w:rFonts w:hint="eastAsia" w:ascii="黑体" w:hAnsi="黑体" w:eastAsia="黑体" w:cs="黑体"/>
          <w:b w:val="0"/>
          <w:bCs w:val="0"/>
          <w:kern w:val="2"/>
          <w:sz w:val="34"/>
          <w:szCs w:val="34"/>
          <w:lang w:val="en-US" w:eastAsia="zh-CN" w:bidi="ar-SA"/>
        </w:rPr>
        <w:t>八、古村落文化与能源企业文化融合发展研究</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4" w:lineRule="exact"/>
        <w:ind w:left="0" w:right="0" w:firstLine="680" w:firstLineChars="200"/>
        <w:jc w:val="both"/>
        <w:textAlignment w:val="auto"/>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2"/>
          <w:sz w:val="34"/>
          <w:szCs w:val="34"/>
          <w:lang w:val="en-US" w:eastAsia="zh-CN" w:bidi="ar"/>
        </w:rPr>
        <w:t>重点研究：梳理中国古村落阳江市大澳渔村文化特色，研究如何与毗邻的阳江核电能源企业文化融合，并整合双方文化资源优势发展文旅产业。</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Autospacing="0" w:after="0" w:afterAutospacing="0" w:line="594" w:lineRule="exact"/>
        <w:ind w:right="0" w:rightChars="0" w:firstLine="680" w:firstLineChars="200"/>
        <w:jc w:val="both"/>
        <w:textAlignment w:val="auto"/>
        <w:rPr>
          <w:rFonts w:hint="eastAsia" w:ascii="黑体" w:hAnsi="黑体" w:eastAsia="黑体" w:cs="黑体"/>
          <w:b w:val="0"/>
          <w:bCs w:val="0"/>
          <w:kern w:val="2"/>
          <w:sz w:val="34"/>
          <w:szCs w:val="34"/>
          <w:lang w:val="en-US" w:eastAsia="zh-CN" w:bidi="ar-SA"/>
        </w:rPr>
      </w:pPr>
      <w:r>
        <w:rPr>
          <w:rFonts w:hint="eastAsia" w:ascii="黑体" w:hAnsi="黑体" w:eastAsia="黑体" w:cs="黑体"/>
          <w:b w:val="0"/>
          <w:bCs w:val="0"/>
          <w:kern w:val="2"/>
          <w:sz w:val="34"/>
          <w:szCs w:val="34"/>
          <w:lang w:val="en-US" w:eastAsia="zh-CN" w:bidi="ar-SA"/>
        </w:rPr>
        <w:t>九、绿色能源与清洁能源协调发展模式研究</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94" w:lineRule="exact"/>
        <w:ind w:left="0" w:right="0" w:firstLine="680" w:firstLineChars="200"/>
        <w:jc w:val="both"/>
        <w:textAlignment w:val="auto"/>
        <w:rPr>
          <w:rFonts w:hint="eastAsia" w:ascii="方正仿宋简体" w:hAnsi="方正仿宋简体" w:eastAsia="方正仿宋简体" w:cs="方正仿宋简体"/>
          <w:kern w:val="2"/>
          <w:sz w:val="34"/>
          <w:szCs w:val="34"/>
          <w:lang w:val="en-US" w:eastAsia="zh-CN" w:bidi="ar"/>
        </w:rPr>
      </w:pPr>
      <w:r>
        <w:rPr>
          <w:rFonts w:hint="eastAsia" w:ascii="方正仿宋简体" w:hAnsi="方正仿宋简体" w:eastAsia="方正仿宋简体" w:cs="方正仿宋简体"/>
          <w:kern w:val="2"/>
          <w:sz w:val="34"/>
          <w:szCs w:val="34"/>
          <w:lang w:val="en-US" w:eastAsia="zh-CN" w:bidi="ar"/>
        </w:rPr>
        <w:t>重点研究：全面做好顶层规划，以绿电为突出特色，构建“风光核储”一体化发展新模式。全面构建阳江市新型电力结构和输出线路，充分发挥火电储能灵活性，积极有序发展核电保障稳定基荷，支撑阳江市绿电更大规模发展并更高效送出消纳，确保绿能之都能源及低碳经济发展的安全基础。</w:t>
      </w:r>
    </w:p>
    <w:sectPr>
      <w:footerReference r:id="rId3" w:type="default"/>
      <w:pgSz w:w="11906" w:h="16838"/>
      <w:pgMar w:top="1928" w:right="1417" w:bottom="1701" w:left="164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xi Sans">
    <w:altName w:val="华文中宋"/>
    <w:panose1 w:val="00000000000000000000"/>
    <w:charset w:val="00"/>
    <w:family w:val="auto"/>
    <w:pitch w:val="default"/>
    <w:sig w:usb0="00000000" w:usb1="00000000" w:usb2="00000000" w:usb3="00000000" w:csb0="00000000" w:csb1="00000000"/>
  </w:font>
  <w:font w:name="荣耀黑体">
    <w:altName w:val="方正黑体_GBK"/>
    <w:panose1 w:val="00000000000000000000"/>
    <w:charset w:val="00"/>
    <w:family w:val="auto"/>
    <w:pitch w:val="default"/>
    <w:sig w:usb0="00000000" w:usb1="00000000" w:usb2="00000000" w:usb3="00000000" w:csb0="0000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u w:val="none"/>
                            </w:rPr>
                          </w:pPr>
                          <w:r>
                            <w:rPr>
                              <w:rFonts w:hint="eastAsia" w:asciiTheme="majorEastAsia" w:hAnsiTheme="majorEastAsia" w:eastAsiaTheme="majorEastAsia" w:cstheme="majorEastAsia"/>
                              <w:sz w:val="28"/>
                              <w:szCs w:val="28"/>
                              <w:u w:val="none"/>
                            </w:rPr>
                            <w:t xml:space="preserve">— </w:t>
                          </w:r>
                          <w:r>
                            <w:rPr>
                              <w:rFonts w:hint="eastAsia" w:asciiTheme="majorEastAsia" w:hAnsiTheme="majorEastAsia" w:eastAsiaTheme="majorEastAsia" w:cstheme="majorEastAsia"/>
                              <w:sz w:val="28"/>
                              <w:szCs w:val="28"/>
                              <w:u w:val="none"/>
                            </w:rPr>
                            <w:fldChar w:fldCharType="begin"/>
                          </w:r>
                          <w:r>
                            <w:rPr>
                              <w:rFonts w:hint="eastAsia" w:asciiTheme="majorEastAsia" w:hAnsiTheme="majorEastAsia" w:eastAsiaTheme="majorEastAsia" w:cstheme="majorEastAsia"/>
                              <w:sz w:val="28"/>
                              <w:szCs w:val="28"/>
                              <w:u w:val="none"/>
                            </w:rPr>
                            <w:instrText xml:space="preserve"> PAGE  \* MERGEFORMAT </w:instrText>
                          </w:r>
                          <w:r>
                            <w:rPr>
                              <w:rFonts w:hint="eastAsia" w:asciiTheme="majorEastAsia" w:hAnsiTheme="majorEastAsia" w:eastAsiaTheme="majorEastAsia" w:cstheme="majorEastAsia"/>
                              <w:sz w:val="28"/>
                              <w:szCs w:val="28"/>
                              <w:u w:val="none"/>
                            </w:rPr>
                            <w:fldChar w:fldCharType="separate"/>
                          </w:r>
                          <w:r>
                            <w:rPr>
                              <w:rFonts w:hint="eastAsia" w:asciiTheme="majorEastAsia" w:hAnsiTheme="majorEastAsia" w:eastAsiaTheme="majorEastAsia" w:cstheme="majorEastAsia"/>
                              <w:sz w:val="28"/>
                              <w:szCs w:val="28"/>
                              <w:u w:val="none"/>
                            </w:rPr>
                            <w:t>1</w:t>
                          </w:r>
                          <w:r>
                            <w:rPr>
                              <w:rFonts w:hint="eastAsia" w:asciiTheme="majorEastAsia" w:hAnsiTheme="majorEastAsia" w:eastAsiaTheme="majorEastAsia" w:cstheme="majorEastAsia"/>
                              <w:sz w:val="28"/>
                              <w:szCs w:val="28"/>
                              <w:u w:val="none"/>
                            </w:rPr>
                            <w:fldChar w:fldCharType="end"/>
                          </w:r>
                          <w:r>
                            <w:rPr>
                              <w:rFonts w:hint="eastAsia" w:asciiTheme="majorEastAsia" w:hAnsiTheme="majorEastAsia" w:eastAsiaTheme="majorEastAsia" w:cstheme="majorEastAsia"/>
                              <w:sz w:val="28"/>
                              <w:szCs w:val="28"/>
                              <w:u w:val="none"/>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u w:val="none"/>
                      </w:rPr>
                    </w:pPr>
                    <w:r>
                      <w:rPr>
                        <w:rFonts w:hint="eastAsia" w:asciiTheme="majorEastAsia" w:hAnsiTheme="majorEastAsia" w:eastAsiaTheme="majorEastAsia" w:cstheme="majorEastAsia"/>
                        <w:sz w:val="28"/>
                        <w:szCs w:val="28"/>
                        <w:u w:val="none"/>
                      </w:rPr>
                      <w:t xml:space="preserve">— </w:t>
                    </w:r>
                    <w:r>
                      <w:rPr>
                        <w:rFonts w:hint="eastAsia" w:asciiTheme="majorEastAsia" w:hAnsiTheme="majorEastAsia" w:eastAsiaTheme="majorEastAsia" w:cstheme="majorEastAsia"/>
                        <w:sz w:val="28"/>
                        <w:szCs w:val="28"/>
                        <w:u w:val="none"/>
                      </w:rPr>
                      <w:fldChar w:fldCharType="begin"/>
                    </w:r>
                    <w:r>
                      <w:rPr>
                        <w:rFonts w:hint="eastAsia" w:asciiTheme="majorEastAsia" w:hAnsiTheme="majorEastAsia" w:eastAsiaTheme="majorEastAsia" w:cstheme="majorEastAsia"/>
                        <w:sz w:val="28"/>
                        <w:szCs w:val="28"/>
                        <w:u w:val="none"/>
                      </w:rPr>
                      <w:instrText xml:space="preserve"> PAGE  \* MERGEFORMAT </w:instrText>
                    </w:r>
                    <w:r>
                      <w:rPr>
                        <w:rFonts w:hint="eastAsia" w:asciiTheme="majorEastAsia" w:hAnsiTheme="majorEastAsia" w:eastAsiaTheme="majorEastAsia" w:cstheme="majorEastAsia"/>
                        <w:sz w:val="28"/>
                        <w:szCs w:val="28"/>
                        <w:u w:val="none"/>
                      </w:rPr>
                      <w:fldChar w:fldCharType="separate"/>
                    </w:r>
                    <w:r>
                      <w:rPr>
                        <w:rFonts w:hint="eastAsia" w:asciiTheme="majorEastAsia" w:hAnsiTheme="majorEastAsia" w:eastAsiaTheme="majorEastAsia" w:cstheme="majorEastAsia"/>
                        <w:sz w:val="28"/>
                        <w:szCs w:val="28"/>
                        <w:u w:val="none"/>
                      </w:rPr>
                      <w:t>1</w:t>
                    </w:r>
                    <w:r>
                      <w:rPr>
                        <w:rFonts w:hint="eastAsia" w:asciiTheme="majorEastAsia" w:hAnsiTheme="majorEastAsia" w:eastAsiaTheme="majorEastAsia" w:cstheme="majorEastAsia"/>
                        <w:sz w:val="28"/>
                        <w:szCs w:val="28"/>
                        <w:u w:val="none"/>
                      </w:rPr>
                      <w:fldChar w:fldCharType="end"/>
                    </w:r>
                    <w:r>
                      <w:rPr>
                        <w:rFonts w:hint="eastAsia" w:asciiTheme="majorEastAsia" w:hAnsiTheme="majorEastAsia" w:eastAsiaTheme="majorEastAsia" w:cstheme="majorEastAsia"/>
                        <w:sz w:val="28"/>
                        <w:szCs w:val="28"/>
                        <w:u w:val="none"/>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2"/>
  <w:embedTrueTypeFonts/>
  <w:saveSubsetFonts/>
  <w:bordersDoNotSurroundHeader w:val="false"/>
  <w:bordersDoNotSurroundFooter w:val="fals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NDFjZmE5ZGZhMjYzODc4OWQwN2U0ZWIzMDg2YTM2M2YifQ=="/>
  </w:docVars>
  <w:rsids>
    <w:rsidRoot w:val="00000000"/>
    <w:rsid w:val="2FE95EC5"/>
    <w:rsid w:val="2FFA4711"/>
    <w:rsid w:val="3F692100"/>
    <w:rsid w:val="4FDF88AD"/>
    <w:rsid w:val="5FFE9EE8"/>
    <w:rsid w:val="638F8587"/>
    <w:rsid w:val="6DFF03E2"/>
    <w:rsid w:val="6E7FCCDD"/>
    <w:rsid w:val="6FBB8790"/>
    <w:rsid w:val="70B71BE9"/>
    <w:rsid w:val="73FF3900"/>
    <w:rsid w:val="775EDD30"/>
    <w:rsid w:val="7F4B7EFD"/>
    <w:rsid w:val="EAFE8922"/>
    <w:rsid w:val="F7BDFCD9"/>
    <w:rsid w:val="F7DFBCD6"/>
    <w:rsid w:val="F7F7BE47"/>
    <w:rsid w:val="FEEEBE47"/>
    <w:rsid w:val="FEFF2B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荣耀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Pages>
  <Words>585</Words>
  <Characters>588</Characters>
  <Lines>1</Lines>
  <Paragraphs>1</Paragraphs>
  <TotalTime>31</TotalTime>
  <ScaleCrop>false</ScaleCrop>
  <LinksUpToDate>false</LinksUpToDate>
  <CharactersWithSpaces>590</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2024-04-06T07:59:00Z</dcterms:created>
  <dc:creator>coocaa</dc:creator>
  <cp:lastModifiedBy>kylin</cp:lastModifiedBy>
  <cp:lastPrinted>2024-04-19T11:31:00Z</cp:lastPrinted>
  <dcterms:modified xsi:type="dcterms:W3CDTF">2024-05-10T10:23:40Z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E9AB86E28CAD126C42942066B48A30B5</vt:lpwstr>
  </property>
</Properties>
</file>