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9F5216">
      <w:pPr>
        <w:jc w:val="center"/>
        <w:rPr>
          <w:rFonts w:hint="eastAsia" w:ascii="方正小标宋简体" w:eastAsia="方正小标宋简体"/>
          <w:sz w:val="44"/>
          <w:szCs w:val="44"/>
        </w:rPr>
      </w:pPr>
    </w:p>
    <w:p w14:paraId="43E14528">
      <w:pPr>
        <w:spacing w:line="520" w:lineRule="exact"/>
        <w:jc w:val="center"/>
        <w:rPr>
          <w:rFonts w:hint="eastAsia" w:ascii="方正小标宋简体" w:eastAsia="方正小标宋简体"/>
          <w:sz w:val="44"/>
          <w:szCs w:val="44"/>
        </w:rPr>
      </w:pPr>
      <w:r>
        <w:rPr>
          <w:rFonts w:hint="eastAsia" w:ascii="方正小标宋简体" w:eastAsia="方正小标宋简体"/>
          <w:sz w:val="44"/>
          <w:szCs w:val="44"/>
        </w:rPr>
        <w:t>阳江市贯彻落实第二轮省级生态环境</w:t>
      </w:r>
    </w:p>
    <w:p w14:paraId="4FD2D785">
      <w:pPr>
        <w:spacing w:line="520" w:lineRule="exact"/>
        <w:jc w:val="center"/>
        <w:rPr>
          <w:rFonts w:hint="eastAsia" w:ascii="方正小标宋简体" w:eastAsia="方正小标宋简体"/>
          <w:sz w:val="44"/>
          <w:szCs w:val="44"/>
        </w:rPr>
      </w:pPr>
      <w:r>
        <w:rPr>
          <w:rFonts w:hint="eastAsia" w:ascii="方正小标宋简体" w:eastAsia="方正小标宋简体"/>
          <w:sz w:val="44"/>
          <w:szCs w:val="44"/>
        </w:rPr>
        <w:t>保护督察报告整改方案</w:t>
      </w:r>
    </w:p>
    <w:p w14:paraId="711115D6"/>
    <w:p w14:paraId="08D02332">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为坚决贯彻落实党中央、国务院决策部署和省委、省政府工作要求，不折不扣抓好省第五生态环境保护督察组反馈问题的整改落实工作，结合我市实际，制定本方案。</w:t>
      </w:r>
    </w:p>
    <w:p w14:paraId="0BC7A12E">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一、工作目标</w:t>
      </w:r>
    </w:p>
    <w:p w14:paraId="61A0AE3B">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坚决完成督察整改任务。从严从实推进督察报告指出我市的38项问题整改工作，2025年年底前对督察组移交的责任追究问题依规依纪依法问责到位，2025年年底前整改任务及督察组移交的信访案件办理工作取得阶段性进展；2027年年底前全面完成整改任务。</w:t>
      </w:r>
    </w:p>
    <w:p w14:paraId="6934282B">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持续改善生态环境质量。2025年，完成省下达我市空气环境质量指标；8个地表水国考断面水质达标率100%，全面消除劣Ⅴ类水质断面；近岸海域水质优良面积比例达到96.8%以上；受污染耕地安全利用率稳定在93%以上，重点建设用地安全利用得到有效保障。到2028年，生态环境质量持续改善，主要污染物排放总量持续下降。</w:t>
      </w:r>
    </w:p>
    <w:p w14:paraId="685A3BC9">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三)加快经济社会发展绿色转型。坚持生态优先、绿色发展，完整、准确、全面贯彻新发展理念，进一步巩固生态环境质量改善成果，抓住控源截污这个关键，在源头精准管控、污染治理等方面下狠功夫，持续提升我市生态环境质量和治理能力水平。</w:t>
      </w:r>
    </w:p>
    <w:p w14:paraId="59248062">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四)生态安全保障能力显著增强。强化重点领域风险防控，完善生态环境风险防范和应急体系。筑牢生态安全屏障，以自然保护区为基础、各类自然公园为补充的自然保护地体系初步形成，自然保护地、生态保护红线监管能力和生物多样性保护水平进一步提升。</w:t>
      </w:r>
    </w:p>
    <w:p w14:paraId="10DE4039">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五)推进生态环境治理体系和治理能力现代化。加快生态文明体制改革，完善排污许可、环保信用、环境治理信息披露等制度，建立健全环境治理的领导责任体系、企业责任体系、监管体系、市场体系、信用体系、法规制度体系，提升综合运用法治、经济、技术等手段治理环境的能力，推动全市生态环境保护水平再上新台阶。</w:t>
      </w:r>
    </w:p>
    <w:p w14:paraId="07CFE191">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二、工作措施</w:t>
      </w:r>
    </w:p>
    <w:p w14:paraId="732C8336">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(一)深入贯彻习近平生态文明思想，坚决扛起生态环境保护政治责任</w:t>
      </w:r>
    </w:p>
    <w:p w14:paraId="0529531A">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1.全面践行习近平生态文明思想。各地各部门把深入学习贯彻习近平生态文明思想以及习近平总书记视察广东重要讲话和重要指示精神作为重要政治任务，贯彻落实全国生态环境保护大会及全省生态环境保护大会精神，把生态环境保护摆在重要位置，奋力建设人与自然和谐共生的美丽阳江。</w:t>
      </w:r>
    </w:p>
    <w:p w14:paraId="597D9AD8">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2.压实生态环境保护责任。压实各级党委、政府及相关部门生态环境保护责任，严格落实生态环境保护“党政同责、一岗双责”，各级党委和政府及有关部门主要负责同志带头抓部署、抓协调、抓整改、抓督办，形成一级抓一级、层层抓落实的良好局面。严格落实《阳江市直机关有关部门生态环境保护责任清单》，不断增强生态环境保护协同共治合力。</w:t>
      </w:r>
    </w:p>
    <w:p w14:paraId="4B1D69C0">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3.加强跟踪落实和责任追究。将中央、省级生态环境保护督察反馈问题整改作为重要工作内容，督促各地各有关部门落实主体责任。对整改不力、推诿扯皮、敷衍塞责、弄虚作假、问题反弹的地区和单位，依规依纪依法严肃追责。</w:t>
      </w:r>
    </w:p>
    <w:p w14:paraId="76CB8C1B">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(二)深入打好污染防治攻坚战，持续改善生态环境质量</w:t>
      </w:r>
    </w:p>
    <w:p w14:paraId="7AD0126B">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1.坚决打赢蓝天保卫战。持续做好主要大气污染物管理工作。大力推进钢铁、水泥等行业超低排放工作，积极推动完成省下达我市钢铁企业超低排放改造任务。持续深化移动源污染防治，加大对机动车排放检验机构监管力度，开展用车大户排放检测及油品质量抽查。强化扬尘污染防治。</w:t>
      </w:r>
    </w:p>
    <w:p w14:paraId="634E0BCE">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2.着力打好碧水保卫战。以8个地表水国考断面达标攻坚、消除漠阳江一级支流劣Ⅴ类水质为导向，持续督导各地各部门严格落实“一断面一策”，统筹精准推进水污染防治工作，全面完成国家和省下达的水质达标任务。配合开展广东省水功能区划省市分级优化工作。深入推进近岸海域水质达优攻坚，推进入海排污口备案、海水养殖尾水污染治理和近岸海域禁养区清理、整治工作。</w:t>
      </w:r>
    </w:p>
    <w:p w14:paraId="4C0AC2CC">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3.扎实开展净土保卫战。以重点建设用地安全利用率100%、受污染耕地安全利用率稳定在93%以上为目标，强化土壤污染源头防控，扎实推进“无废城市”建设工作，开展“无废细胞”建设活动。加强地下水污染防治重点区划定成果集成应用，推进地下水污染防治分区管理。严密防范重金属、尾矿库环境安全风险，对阳江市尾矿库开展安全隐患和环境污染隐患排查、监管。做好我市“绿盾”自然保护地强化监督工作，维护生物多样性。</w:t>
      </w:r>
    </w:p>
    <w:p w14:paraId="7423F480">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(三)加强生态保护，推进绿美阳江生态建设</w:t>
      </w:r>
    </w:p>
    <w:p w14:paraId="707191C8">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1.全面推进美丽阳江建设。以绿美阳江生态建设为牵引，深入推进“百县千镇万村高质量发展工程”，统筹产业结构调整、污染治理、生态保护和应对气候变化，协同推进降碳、减污、扩绿、增长。突出“六美”共建，以阳西县创建全国生态文明示范县为突破口，分级、分类、分步推进美丽县城、美丽乡村、美丽河湖、美丽海湾等美丽系列建设，积极打造一批美丽建设标志性成果。因地制宜建设经济绿色低碳、环境洁净优美、生态良性循环、人居健康安全、城乡和谐宜居、治理现代智慧的美丽阳江。</w:t>
      </w:r>
    </w:p>
    <w:p w14:paraId="0ADFEE1A">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2.深入贯彻落实海洋绿色发展理念。加强部门协调联动，进一步做好水质监测、加快完成海水养殖尾水治理和禁养区清理工作。加大对沿海砂质岸线的保护力度，最大程度避免尾水冲刷侵蚀砂质岸线。全力抓好蚝加工污染防治，加强程村生蚝批发交易市场综合治理，着力解决蚝壳堆放与加工污染问题，加快推进蚝壳资源化利用项目建设。</w:t>
      </w:r>
    </w:p>
    <w:p w14:paraId="4A653CD1">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3.扎实开展固体废物污染防治工作。加强对建筑垃圾管控，依法制定建筑垃圾污染环境防治工作规划，继续加大建筑垃圾违规处置巡查力度，做好建筑垃圾备案工作；完善建筑垃圾运输许可证、建筑垃圾处置(受纳)许可证登记工作；建立和完善建筑垃圾利用处置的长效机制，避免出现非法倾倒填埋现象。加快上马医疗废物焚烧处理项目二期，着力解决我市医疗废物处置能力不足问题。</w:t>
      </w:r>
    </w:p>
    <w:p w14:paraId="2D76EC01">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4.推进城市(县城)污水收集处理设施补短板工作。以“百县千镇万村高质量发展工程”城镇建设重点项目为抓手，以消除城区污水收集空白区、消除污水直排口为目标，逐步推进城区污水处理设施建设、老旧管网改造等工作，优先开展配套管网的缺陷修复及清污分流改造，推进城市(县城)污水管网全覆盖，污水收集处理效能有效提升。</w:t>
      </w:r>
    </w:p>
    <w:p w14:paraId="70B02D6E">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5.严格落实和执行环境管理相关制度。进一步摸清全市各县(市、区)排水许可底数，严格实施排水许可制度。持续抓好最严格水资源管理制度落实，做好阳春市工业增加值用水量下降工作，加快完成广东阳东经济开发区相关企业违规取水问题整改。强化生态环境法治保障，严格执行生态环境损害赔偿制度，做好全市生态环境损害索赔实践，统筹推进生态环境损害赔偿。</w:t>
      </w:r>
    </w:p>
    <w:p w14:paraId="56530716">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(四)坚持系统治理，确保漠阳江流域水质全面改善</w:t>
      </w:r>
    </w:p>
    <w:p w14:paraId="4F0086E3">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1.加大饮用水水源保护力度。推进饮用水水源保护区优化调整和规范化建设工作。强化环境执法监管，确保饮用水水源地水环境安全。</w:t>
      </w:r>
    </w:p>
    <w:p w14:paraId="0E889D99">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2.切实提升污水收集处理能力。加快推进城镇污水收集处理设施及管网改造项目，提高城镇污水处理厂进水浓度，提高生活污水集中收集率。同时继续谋划一批污水处理补短板项目，积极争取上级各类资金支持。</w:t>
      </w:r>
    </w:p>
    <w:p w14:paraId="1886A789">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3.保障污水处理设施正常运行。抓好提质增效工作，加快推进阳东区6个镇级污水处理设施项目动工建设，完成镇级污水处理设施升级改造工作。加强全市镇级生活污水处理厂运维管理，确保污水处理设施正常运行，提高治污效能。</w:t>
      </w:r>
    </w:p>
    <w:p w14:paraId="1DC04562">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4.全力做好畜禽养殖污染防治工作。科学、合理谋划生猪养殖规划布局，抓好畜禽粪污资源化利用项目监管工作，进一步做好畜禽养殖粪污资源化利用，有效降低粪污外排外溢风险。加大对畜禽养殖执法监管力度，防止畜禽养殖污染影响国考断面达标目标任务。</w:t>
      </w:r>
    </w:p>
    <w:p w14:paraId="796B18F2">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5.进一步巩固农村黑臭水体治理成效。加快尚未完成治理的农村黑臭水体治理进度；对已完成治理的农村黑臭水体，切实做好跟踪维护工作。</w:t>
      </w:r>
    </w:p>
    <w:p w14:paraId="09990060">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(五)狠抓环境风险管控，筑牢生态环境安全底线</w:t>
      </w:r>
    </w:p>
    <w:p w14:paraId="6D623F91">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1.做好生活垃圾处理处置工作。加强阳春市生活垃圾卫生填埋场运行管理，加快推动有关焚烧发电项目建设。加快完成市奕垌生活垃圾综合处理场渗滤液降库存以及阳东区船尾石垃圾填埋场场外事故应急池积存渗滤液的处理处置工作。</w:t>
      </w:r>
    </w:p>
    <w:p w14:paraId="77CA2A9D">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2.做好海洋生态系统保护修复工作。严格落实管理责任，做好对无人岛屿阳西县上洋镇大树岛日常巡查管理，及时发现和处理破坏自然保护地生态的行为。抓紧完成在现状红树林范围外营造红树林不少于950公顷的任务。</w:t>
      </w:r>
    </w:p>
    <w:p w14:paraId="6B083F57">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3.进一步完善工业园区配套污水收集处理设施建设。加快推进广东阳东经济开发区、阳江阳春产业园区、阳江阳西产业园区、阳西县新墟产业园污水管网建设，消除污水直排现象；加快推进阳江阳春产业园区产业集聚地、阳西县新墟产业园配套污水处理厂建设，补齐污水处理能力缺口。</w:t>
      </w:r>
    </w:p>
    <w:p w14:paraId="3AC01C7E">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4.提升传统五金刀剪产业环境保护水平。进一步完善工业园区企业环保措施、环评手续、环境应急预案编制等方面工作。加强工业园区管理，推动绿色工业园区建设。</w:t>
      </w:r>
    </w:p>
    <w:p w14:paraId="1FD5D7C7">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(六)加大工作力度，推动重点督察整改任务完成到位</w:t>
      </w:r>
    </w:p>
    <w:p w14:paraId="0586F432">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1.加快推进第二轮中央生态环境保护督察未完成的整改任务。完成全市海水养殖尾水治理和禁养区清理、生活垃圾填埋场渗滤液处理、违规小水电站清理、城南污水处理厂(三期)和中洲岛污水处理厂(二期)工程建设、农村生活污水治理等问题整改，确保按时保质完成任务。</w:t>
      </w:r>
    </w:p>
    <w:p w14:paraId="3556A528">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2.持续抓好生态环境保护督察反馈问题和信访交办案件问题的整改。做好督察集中通报典型案例涉我市阳西县近岸海域污染防治工作仍不到位问题整改。</w:t>
      </w:r>
    </w:p>
    <w:p w14:paraId="25D794B6">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3.对于其他一些督查督办问题整改推进不力的情况，如森林资源遭破坏后整改不够到位问题，以及阳春市岗美镇生风河农村黑臭水体问题，进一步加大工作力度，彻底推动整改完成。对已完成的整改问题，要切实巩固整改成效，坚决防止问题反弹；对未达时序进度或整改进展滞后的整改问题，找准问题症结、精准施策，加大整改力度，按时保质完成各项整改任务。</w:t>
      </w:r>
    </w:p>
    <w:p w14:paraId="093E2D72">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(七)坚持改革创新，持续提升环境治理能力和水平</w:t>
      </w:r>
    </w:p>
    <w:p w14:paraId="11386ECF">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1.深入推进生态文明制度改革。建立健全环境污染问题发现机制，持续实施环境违法行为举报奖励制度，完善生态环境突出问题整改闭环管理机制。深化生态环境保护综合行政执法改革，加强基层生态环境执法队伍建设，完善县镇两级生态环境保护机构设置，加强海洋环境、应对气候变化、生态监管等领域执法能力建设。推进环境信息依法披露制度改革。</w:t>
      </w:r>
    </w:p>
    <w:p w14:paraId="0CEE715D">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2.加快生态环境治理数字化建设。构建生态环境信息资源共享数据库，建设完善智慧生态环境平台。通过数字化改革推动生态环境治理方式、手段、工具、机制系统性重塑，实现从事后应对处置向事前有效防范、从碎片化管理向全周期管理、从模糊治理向精准治理的深刻转变。</w:t>
      </w:r>
    </w:p>
    <w:p w14:paraId="462ED9DC">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3.完善环境治理机制。建立完善以排污许可证为核心的污染防治管理体系，全面落实企业治污主体责任，加强排污许可证证后执法监管。深化“双随机、一公开”监管制度，进一步完善执法自由裁量权行使规则，健全宽严相济的执法机制。完善企业环保信用评价制度，完善环保守信联合激励和失信联合惩戒机制。</w:t>
      </w:r>
    </w:p>
    <w:p w14:paraId="09E26ED9">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三、保障措施</w:t>
      </w:r>
    </w:p>
    <w:p w14:paraId="77DC1BA1">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加强组织领导。市生态环境保护委员会统筹负责督察整改的组织协调、整体推进和督促落实。各县(市、区)和市有关部门建立相应整改工作机制，党委(党组)主要负责同志带头督办重点难点整改工作，从严从实抓好整改落实。</w:t>
      </w:r>
    </w:p>
    <w:p w14:paraId="2C4F9E23">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强化责任落实。市生态环境保护委员会办公室加强工作调度、跟踪督办、销号管理制度，对整改不力的，视情采取提醒、通报、督办、约谈等措施。整改牵头单位负责相应整改任务的组织、协调、推进等相关工作；督导单位加强职责范围的业务指导和督促检查，与责任单位共同推进落实整改；其他责任单位负责落实具体整改事项，不折不扣推动各项问题全面整改到位。第一责任单位、督导单位牵头相应整改任务的验收销号工作。对整改工作中出现的敷衍整改、表面整改、假装整改和搞“一刀切”等形式主义、官僚主义问题，依规依纪依法追究相关单位和人员责任。</w:t>
      </w:r>
    </w:p>
    <w:p w14:paraId="55CB630B">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三)加大资金投入。健全常态化、稳定的生态环境治理财政投入机制，市县两级财政把生态环境保护相关支出列入财政年度预算，统筹安排相关专项资金，加大对基层生态环境保护能力建设的支持力度。建立多元化投入模式，引导各类社会资本参与环境治理设施投资、建设、运行。</w:t>
      </w:r>
    </w:p>
    <w:p w14:paraId="63FC6A55">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四)加强信息公开。加大环境信息公开力度，畅通环保监督渠道。充分运用报刊、电视、网络等平台，按要求及时公开督察整改方案、督察整改工作情况及问责有关情况，保障人民群众的知情权，提高政府公信力，充分发挥媒体和群众的监督作用。</w:t>
      </w:r>
    </w:p>
    <w:p w14:paraId="42413E15">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五)及时报送材料。各地各部门根据本整改方案和督察反馈意见，按照有节点、可量化、能考核的要求，抓紧制定本地本部门具体的整改落实工作方案，并报市生态环境保护委员会办公室(市生态环境局)。同时按照本地本部门整改落实工作方案要求，加快推进整改工作，按要求报送整改进度至市生态环境保护委员会办公室(市生态环境局)。</w:t>
      </w:r>
    </w:p>
    <w:p w14:paraId="4BDC6389">
      <w:pPr>
        <w:adjustRightInd w:val="0"/>
        <w:spacing w:line="594" w:lineRule="exact"/>
        <w:ind w:firstLine="666" w:firstLineChars="196"/>
        <w:rPr>
          <w:rFonts w:ascii="宋体" w:hAnsi="宋体" w:eastAsia="方正仿宋简体" w:cs="Times New Roman"/>
          <w:kern w:val="32"/>
          <w:sz w:val="34"/>
          <w:szCs w:val="20"/>
        </w:rPr>
      </w:pPr>
    </w:p>
    <w:p w14:paraId="7CDE62EF">
      <w:pPr>
        <w:adjustRightInd w:val="0"/>
        <w:spacing w:line="594" w:lineRule="exact"/>
        <w:ind w:left="1432" w:leftChars="196" w:hanging="1020" w:hangingChars="300"/>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附件：阳江市贯彻落实第二轮省级生态环境保护督察报告整改措施清单</w:t>
      </w:r>
    </w:p>
    <w:p w14:paraId="111984E8">
      <w:pPr>
        <w:adjustRightInd w:val="0"/>
        <w:spacing w:line="594" w:lineRule="exact"/>
        <w:ind w:firstLine="666" w:firstLineChars="196"/>
        <w:rPr>
          <w:rFonts w:ascii="宋体" w:hAnsi="宋体" w:eastAsia="方正仿宋简体" w:cs="Times New Roman"/>
          <w:kern w:val="32"/>
          <w:sz w:val="34"/>
          <w:szCs w:val="20"/>
        </w:rPr>
      </w:pPr>
      <w:r>
        <w:rPr>
          <w:rFonts w:ascii="宋体" w:hAnsi="宋体" w:eastAsia="方正仿宋简体" w:cs="Times New Roman"/>
          <w:kern w:val="32"/>
          <w:sz w:val="34"/>
          <w:szCs w:val="20"/>
        </w:rPr>
        <w:t xml:space="preserve"> </w:t>
      </w:r>
    </w:p>
    <w:p w14:paraId="30E836B6">
      <w:pPr>
        <w:adjustRightInd w:val="0"/>
        <w:spacing w:line="594" w:lineRule="exact"/>
        <w:ind w:firstLine="666" w:firstLineChars="196"/>
        <w:rPr>
          <w:rFonts w:hint="eastAsia" w:ascii="宋体" w:hAnsi="宋体" w:eastAsia="方正仿宋简体" w:cs="Times New Roman"/>
          <w:kern w:val="32"/>
          <w:sz w:val="34"/>
          <w:szCs w:val="20"/>
        </w:rPr>
      </w:pPr>
    </w:p>
    <w:p w14:paraId="54D2CBB1">
      <w:pPr>
        <w:adjustRightInd w:val="0"/>
        <w:spacing w:line="594" w:lineRule="exact"/>
        <w:ind w:firstLine="666" w:firstLineChars="196"/>
        <w:rPr>
          <w:rFonts w:hint="eastAsia" w:ascii="宋体" w:hAnsi="宋体" w:eastAsia="方正仿宋简体" w:cs="Times New Roman"/>
          <w:kern w:val="32"/>
          <w:sz w:val="34"/>
          <w:szCs w:val="20"/>
        </w:rPr>
      </w:pPr>
    </w:p>
    <w:p w14:paraId="31219E8A">
      <w:pPr>
        <w:adjustRightInd w:val="0"/>
        <w:spacing w:line="594" w:lineRule="exact"/>
        <w:ind w:firstLine="666" w:firstLineChars="196"/>
        <w:rPr>
          <w:rFonts w:hint="eastAsia" w:ascii="宋体" w:hAnsi="宋体" w:eastAsia="方正仿宋简体" w:cs="Times New Roman"/>
          <w:kern w:val="32"/>
          <w:sz w:val="34"/>
          <w:szCs w:val="20"/>
        </w:rPr>
      </w:pPr>
    </w:p>
    <w:p w14:paraId="01B68F60">
      <w:pPr>
        <w:adjustRightInd w:val="0"/>
        <w:spacing w:line="594" w:lineRule="exact"/>
        <w:ind w:firstLine="666" w:firstLineChars="196"/>
        <w:rPr>
          <w:rFonts w:hint="eastAsia" w:ascii="宋体" w:hAnsi="宋体" w:eastAsia="方正仿宋简体" w:cs="Times New Roman"/>
          <w:kern w:val="32"/>
          <w:sz w:val="34"/>
          <w:szCs w:val="20"/>
        </w:rPr>
      </w:pPr>
    </w:p>
    <w:p w14:paraId="4708684C">
      <w:pPr>
        <w:adjustRightInd w:val="0"/>
        <w:spacing w:line="594" w:lineRule="exact"/>
        <w:ind w:firstLine="666" w:firstLineChars="196"/>
        <w:rPr>
          <w:rFonts w:hint="eastAsia" w:ascii="宋体" w:hAnsi="宋体" w:eastAsia="方正仿宋简体" w:cs="Times New Roman"/>
          <w:kern w:val="32"/>
          <w:sz w:val="34"/>
          <w:szCs w:val="20"/>
        </w:rPr>
      </w:pPr>
    </w:p>
    <w:p w14:paraId="2754F3CA">
      <w:pPr>
        <w:adjustRightInd w:val="0"/>
        <w:spacing w:line="594" w:lineRule="exact"/>
        <w:ind w:firstLine="666" w:firstLineChars="196"/>
        <w:rPr>
          <w:rFonts w:hint="eastAsia" w:ascii="宋体" w:hAnsi="宋体" w:eastAsia="方正仿宋简体" w:cs="Times New Roman"/>
          <w:kern w:val="32"/>
          <w:sz w:val="34"/>
          <w:szCs w:val="20"/>
        </w:rPr>
      </w:pPr>
    </w:p>
    <w:p w14:paraId="00E498CC">
      <w:pPr>
        <w:adjustRightInd w:val="0"/>
        <w:spacing w:line="594" w:lineRule="exact"/>
        <w:ind w:firstLine="666" w:firstLineChars="196"/>
        <w:rPr>
          <w:rFonts w:hint="eastAsia" w:ascii="宋体" w:hAnsi="宋体" w:eastAsia="方正仿宋简体" w:cs="Times New Roman"/>
          <w:kern w:val="32"/>
          <w:sz w:val="34"/>
          <w:szCs w:val="20"/>
        </w:rPr>
      </w:pPr>
    </w:p>
    <w:p w14:paraId="779A3C24">
      <w:pPr>
        <w:adjustRightInd w:val="0"/>
        <w:spacing w:line="594" w:lineRule="exact"/>
        <w:ind w:firstLine="666" w:firstLineChars="196"/>
        <w:rPr>
          <w:rFonts w:hint="eastAsia" w:ascii="宋体" w:hAnsi="宋体" w:eastAsia="方正仿宋简体" w:cs="Times New Roman"/>
          <w:kern w:val="32"/>
          <w:sz w:val="34"/>
          <w:szCs w:val="20"/>
        </w:rPr>
      </w:pPr>
    </w:p>
    <w:p w14:paraId="46195437">
      <w:pPr>
        <w:adjustRightInd w:val="0"/>
        <w:spacing w:line="594" w:lineRule="exact"/>
        <w:ind w:firstLine="666" w:firstLineChars="196"/>
        <w:rPr>
          <w:rFonts w:hint="eastAsia" w:ascii="宋体" w:hAnsi="宋体" w:eastAsia="方正仿宋简体" w:cs="Times New Roman"/>
          <w:kern w:val="32"/>
          <w:sz w:val="34"/>
          <w:szCs w:val="20"/>
        </w:rPr>
      </w:pPr>
    </w:p>
    <w:p w14:paraId="3E810621">
      <w:pPr>
        <w:adjustRightInd w:val="0"/>
        <w:spacing w:line="594" w:lineRule="exact"/>
        <w:ind w:firstLine="666" w:firstLineChars="196"/>
        <w:rPr>
          <w:rFonts w:hint="eastAsia" w:ascii="宋体" w:hAnsi="宋体" w:eastAsia="方正仿宋简体" w:cs="Times New Roman"/>
          <w:kern w:val="32"/>
          <w:sz w:val="34"/>
          <w:szCs w:val="20"/>
        </w:rPr>
      </w:pPr>
    </w:p>
    <w:p w14:paraId="05CB209F">
      <w:pPr>
        <w:adjustRightInd w:val="0"/>
        <w:spacing w:line="594" w:lineRule="exact"/>
        <w:ind w:firstLine="666" w:firstLineChars="196"/>
        <w:rPr>
          <w:rFonts w:hint="eastAsia" w:ascii="宋体" w:hAnsi="宋体" w:eastAsia="方正仿宋简体" w:cs="Times New Roman"/>
          <w:kern w:val="32"/>
          <w:sz w:val="34"/>
          <w:szCs w:val="20"/>
        </w:rPr>
      </w:pPr>
    </w:p>
    <w:p w14:paraId="035396A5">
      <w:pPr>
        <w:adjustRightInd w:val="0"/>
        <w:spacing w:line="594" w:lineRule="exact"/>
        <w:rPr>
          <w:rFonts w:hint="eastAsia" w:ascii="黑体" w:hAnsi="黑体" w:eastAsia="黑体" w:cs="Times New Roman"/>
          <w:kern w:val="32"/>
          <w:sz w:val="34"/>
          <w:szCs w:val="20"/>
        </w:rPr>
      </w:pPr>
    </w:p>
    <w:p w14:paraId="47EF7A4D">
      <w:pPr>
        <w:adjustRightInd w:val="0"/>
        <w:spacing w:line="594" w:lineRule="exact"/>
        <w:rPr>
          <w:rFonts w:hint="eastAsia" w:ascii="黑体" w:hAnsi="黑体" w:eastAsia="黑体" w:cs="Times New Roman"/>
          <w:kern w:val="32"/>
          <w:sz w:val="34"/>
          <w:szCs w:val="20"/>
        </w:rPr>
      </w:pPr>
    </w:p>
    <w:p w14:paraId="64120CBF">
      <w:pPr>
        <w:adjustRightInd w:val="0"/>
        <w:spacing w:line="594" w:lineRule="exact"/>
        <w:rPr>
          <w:rFonts w:hint="eastAsia" w:ascii="黑体" w:hAnsi="黑体" w:eastAsia="黑体" w:cs="Times New Roman"/>
          <w:kern w:val="32"/>
          <w:sz w:val="34"/>
          <w:szCs w:val="20"/>
        </w:rPr>
      </w:pPr>
    </w:p>
    <w:p w14:paraId="39648730">
      <w:pPr>
        <w:adjustRightInd w:val="0"/>
        <w:spacing w:line="594" w:lineRule="exact"/>
        <w:rPr>
          <w:rFonts w:hint="eastAsia" w:ascii="黑体" w:hAnsi="黑体" w:eastAsia="黑体" w:cs="Times New Roman"/>
          <w:kern w:val="32"/>
          <w:sz w:val="34"/>
          <w:szCs w:val="20"/>
        </w:rPr>
      </w:pPr>
    </w:p>
    <w:p w14:paraId="4E083882">
      <w:pPr>
        <w:adjustRightInd w:val="0"/>
        <w:spacing w:line="594" w:lineRule="exact"/>
        <w:rPr>
          <w:rFonts w:hint="eastAsia" w:ascii="黑体" w:hAnsi="黑体" w:eastAsia="黑体" w:cs="Times New Roman"/>
          <w:kern w:val="32"/>
          <w:sz w:val="34"/>
          <w:szCs w:val="20"/>
        </w:rPr>
      </w:pPr>
    </w:p>
    <w:p w14:paraId="3830B359">
      <w:pPr>
        <w:adjustRightInd w:val="0"/>
        <w:spacing w:line="594" w:lineRule="exact"/>
        <w:rPr>
          <w:rFonts w:hint="eastAsia" w:ascii="黑体" w:hAnsi="黑体" w:eastAsia="黑体" w:cs="Times New Roman"/>
          <w:kern w:val="32"/>
          <w:sz w:val="34"/>
          <w:szCs w:val="20"/>
        </w:rPr>
      </w:pPr>
      <w:bookmarkStart w:id="0" w:name="_GoBack"/>
      <w:bookmarkEnd w:id="0"/>
      <w:r>
        <w:rPr>
          <w:rFonts w:hint="eastAsia" w:ascii="黑体" w:hAnsi="黑体" w:eastAsia="黑体" w:cs="Times New Roman"/>
          <w:kern w:val="32"/>
          <w:sz w:val="34"/>
          <w:szCs w:val="20"/>
        </w:rPr>
        <w:t>附  件</w:t>
      </w:r>
    </w:p>
    <w:p w14:paraId="150B8A7D">
      <w:pPr>
        <w:adjustRightInd w:val="0"/>
        <w:spacing w:line="594" w:lineRule="exact"/>
        <w:ind w:firstLine="666" w:firstLineChars="196"/>
        <w:rPr>
          <w:rFonts w:ascii="宋体" w:hAnsi="宋体" w:eastAsia="方正仿宋简体" w:cs="Times New Roman"/>
          <w:kern w:val="32"/>
          <w:sz w:val="34"/>
          <w:szCs w:val="20"/>
        </w:rPr>
      </w:pPr>
    </w:p>
    <w:p w14:paraId="79D7C3A8">
      <w:pPr>
        <w:adjustRightInd w:val="0"/>
        <w:spacing w:line="594" w:lineRule="exact"/>
        <w:jc w:val="center"/>
        <w:rPr>
          <w:rFonts w:hint="eastAsia" w:ascii="方正小标宋简体" w:hAnsi="宋体" w:eastAsia="方正小标宋简体" w:cs="Times New Roman"/>
          <w:kern w:val="32"/>
          <w:sz w:val="44"/>
          <w:szCs w:val="44"/>
        </w:rPr>
      </w:pPr>
      <w:r>
        <w:rPr>
          <w:rFonts w:hint="eastAsia" w:ascii="方正小标宋简体" w:hAnsi="宋体" w:eastAsia="方正小标宋简体" w:cs="Times New Roman"/>
          <w:kern w:val="32"/>
          <w:sz w:val="44"/>
          <w:szCs w:val="44"/>
        </w:rPr>
        <w:t>阳江市贯彻落实第二轮省级生态环境</w:t>
      </w:r>
    </w:p>
    <w:p w14:paraId="55171ADD">
      <w:pPr>
        <w:adjustRightInd w:val="0"/>
        <w:spacing w:line="594" w:lineRule="exact"/>
        <w:jc w:val="center"/>
        <w:rPr>
          <w:rFonts w:hint="eastAsia" w:ascii="方正小标宋简体" w:hAnsi="宋体" w:eastAsia="方正小标宋简体" w:cs="Times New Roman"/>
          <w:kern w:val="32"/>
          <w:sz w:val="44"/>
          <w:szCs w:val="44"/>
        </w:rPr>
      </w:pPr>
      <w:r>
        <w:rPr>
          <w:rFonts w:hint="eastAsia" w:ascii="方正小标宋简体" w:hAnsi="宋体" w:eastAsia="方正小标宋简体" w:cs="Times New Roman"/>
          <w:kern w:val="32"/>
          <w:sz w:val="44"/>
          <w:szCs w:val="44"/>
        </w:rPr>
        <w:t>保护督察报告整改措施清单</w:t>
      </w:r>
    </w:p>
    <w:p w14:paraId="48D85175">
      <w:pPr>
        <w:adjustRightInd w:val="0"/>
        <w:spacing w:line="594" w:lineRule="exact"/>
        <w:ind w:firstLine="666" w:firstLineChars="196"/>
        <w:rPr>
          <w:rFonts w:ascii="宋体" w:hAnsi="宋体" w:eastAsia="方正仿宋简体" w:cs="Times New Roman"/>
          <w:kern w:val="32"/>
          <w:sz w:val="34"/>
          <w:szCs w:val="20"/>
        </w:rPr>
      </w:pPr>
    </w:p>
    <w:p w14:paraId="0CF8D822">
      <w:pPr>
        <w:adjustRightInd w:val="0"/>
        <w:spacing w:line="594" w:lineRule="exact"/>
        <w:ind w:firstLine="666" w:firstLineChars="196"/>
        <w:rPr>
          <w:rFonts w:ascii="黑体" w:hAnsi="黑体" w:eastAsia="黑体" w:cs="Times New Roman"/>
          <w:kern w:val="32"/>
          <w:sz w:val="34"/>
          <w:szCs w:val="20"/>
        </w:rPr>
      </w:pPr>
      <w:r>
        <w:rPr>
          <w:rFonts w:hint="eastAsia" w:ascii="黑体" w:hAnsi="黑体" w:eastAsia="黑体" w:cs="Times New Roman"/>
          <w:kern w:val="32"/>
          <w:sz w:val="34"/>
          <w:szCs w:val="20"/>
        </w:rPr>
        <w:t>一、践行习近平生态文明思想仍有差距。贯彻落实海洋绿色发展理念仍不够到位。阳江市拥有海域面积</w:t>
      </w:r>
      <w:r>
        <w:rPr>
          <w:rFonts w:ascii="黑体" w:hAnsi="黑体" w:eastAsia="黑体" w:cs="Times New Roman"/>
          <w:kern w:val="32"/>
          <w:sz w:val="34"/>
          <w:szCs w:val="20"/>
        </w:rPr>
        <w:t>1.19</w:t>
      </w:r>
      <w:r>
        <w:rPr>
          <w:rFonts w:hint="eastAsia" w:ascii="黑体" w:hAnsi="黑体" w:eastAsia="黑体" w:cs="Times New Roman"/>
          <w:kern w:val="32"/>
          <w:sz w:val="34"/>
          <w:szCs w:val="20"/>
        </w:rPr>
        <w:t>万平方公里，海岸线</w:t>
      </w:r>
      <w:r>
        <w:rPr>
          <w:rFonts w:ascii="黑体" w:hAnsi="黑体" w:eastAsia="黑体" w:cs="Times New Roman"/>
          <w:kern w:val="32"/>
          <w:sz w:val="34"/>
          <w:szCs w:val="20"/>
        </w:rPr>
        <w:t>434.3</w:t>
      </w:r>
      <w:r>
        <w:rPr>
          <w:rFonts w:hint="eastAsia" w:ascii="黑体" w:hAnsi="黑体" w:eastAsia="黑体" w:cs="Times New Roman"/>
          <w:kern w:val="32"/>
          <w:sz w:val="34"/>
          <w:szCs w:val="20"/>
        </w:rPr>
        <w:t>公里，海洋资源禀赋优良，但一些地区和部门海洋保护意识不强，在海水养殖布局、养殖尾水治理、水产加工行业环境保护等方面仍存在一些突出问题。禁养区清理整治不彻底，督察发现，阳西县洋边河、河北渔港、那㙟新丰联围及阳江滨海新区</w:t>
      </w:r>
      <w:r>
        <w:rPr>
          <w:rFonts w:ascii="黑体" w:hAnsi="黑体" w:eastAsia="黑体" w:cs="Times New Roman"/>
          <w:kern w:val="32"/>
          <w:sz w:val="34"/>
          <w:szCs w:val="20"/>
        </w:rPr>
        <w:t>(</w:t>
      </w:r>
      <w:r>
        <w:rPr>
          <w:rFonts w:hint="eastAsia" w:ascii="黑体" w:hAnsi="黑体" w:eastAsia="黑体" w:cs="Times New Roman"/>
          <w:kern w:val="32"/>
          <w:sz w:val="34"/>
          <w:szCs w:val="20"/>
        </w:rPr>
        <w:t>阳江高新区</w:t>
      </w:r>
      <w:r>
        <w:rPr>
          <w:rFonts w:ascii="黑体" w:hAnsi="黑体" w:eastAsia="黑体" w:cs="Times New Roman"/>
          <w:kern w:val="32"/>
          <w:sz w:val="34"/>
          <w:szCs w:val="20"/>
        </w:rPr>
        <w:t>)</w:t>
      </w:r>
      <w:r>
        <w:rPr>
          <w:rFonts w:hint="eastAsia" w:ascii="黑体" w:hAnsi="黑体" w:eastAsia="黑体" w:cs="Times New Roman"/>
          <w:kern w:val="32"/>
          <w:sz w:val="34"/>
          <w:szCs w:val="20"/>
        </w:rPr>
        <w:t>九姜大河出海口等禁养区内仍存在违规养殖面积合计约</w:t>
      </w:r>
      <w:r>
        <w:rPr>
          <w:rFonts w:ascii="黑体" w:hAnsi="黑体" w:eastAsia="黑体" w:cs="Times New Roman"/>
          <w:kern w:val="32"/>
          <w:sz w:val="34"/>
          <w:szCs w:val="20"/>
        </w:rPr>
        <w:t>900</w:t>
      </w:r>
      <w:r>
        <w:rPr>
          <w:rFonts w:hint="eastAsia" w:ascii="黑体" w:hAnsi="黑体" w:eastAsia="黑体" w:cs="Times New Roman"/>
          <w:kern w:val="32"/>
          <w:sz w:val="34"/>
          <w:szCs w:val="20"/>
        </w:rPr>
        <w:t>亩。</w:t>
      </w:r>
    </w:p>
    <w:p w14:paraId="04DB1CC7">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责任单位：市农业农村局、市自然资源局、市水务局、市生态环境局，各沿海县(区)党(工)委和政府(管委会)(除特别注明，排序第一的责任单位为整改和验收销号牵头单位,下同)</w:t>
      </w:r>
    </w:p>
    <w:p w14:paraId="7EC3C477">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整改目标：全面完成全市禁养区内养殖面积的清理工作。</w:t>
      </w:r>
    </w:p>
    <w:p w14:paraId="54A6F1BA">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整改时限：2025年年底前</w:t>
      </w:r>
    </w:p>
    <w:p w14:paraId="6BC11B71">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w:t>
      </w:r>
    </w:p>
    <w:p w14:paraId="454245F3">
      <w:pPr>
        <w:adjustRightInd w:val="0"/>
        <w:spacing w:line="594" w:lineRule="exact"/>
        <w:ind w:firstLine="666" w:firstLineChars="196"/>
        <w:rPr>
          <w:rFonts w:ascii="宋体" w:hAnsi="宋体" w:eastAsia="方正仿宋简体" w:cs="Times New Roman"/>
          <w:kern w:val="32"/>
          <w:sz w:val="34"/>
          <w:szCs w:val="20"/>
        </w:rPr>
      </w:pPr>
      <w:r>
        <w:rPr>
          <w:rFonts w:ascii="宋体" w:hAnsi="宋体" w:eastAsia="方正仿宋简体" w:cs="Times New Roman"/>
          <w:kern w:val="32"/>
          <w:sz w:val="34"/>
          <w:szCs w:val="20"/>
        </w:rPr>
        <w:t>(</w:t>
      </w:r>
      <w:r>
        <w:rPr>
          <w:rFonts w:hint="eastAsia" w:ascii="宋体" w:hAnsi="宋体" w:eastAsia="方正仿宋简体" w:cs="Times New Roman"/>
          <w:kern w:val="32"/>
          <w:sz w:val="34"/>
          <w:szCs w:val="20"/>
        </w:rPr>
        <w:t>一</w:t>
      </w:r>
      <w:r>
        <w:rPr>
          <w:rFonts w:ascii="宋体" w:hAnsi="宋体" w:eastAsia="方正仿宋简体" w:cs="Times New Roman"/>
          <w:kern w:val="32"/>
          <w:sz w:val="34"/>
          <w:szCs w:val="20"/>
        </w:rPr>
        <w:t>)</w:t>
      </w:r>
      <w:r>
        <w:rPr>
          <w:rFonts w:hint="eastAsia" w:ascii="宋体" w:hAnsi="宋体" w:eastAsia="方正仿宋简体" w:cs="Times New Roman"/>
          <w:kern w:val="32"/>
          <w:sz w:val="34"/>
          <w:szCs w:val="20"/>
        </w:rPr>
        <w:t>完成阳西县洋边河、河北渔港、那㙟新丰联围及阳江滨海新区</w:t>
      </w:r>
      <w:r>
        <w:rPr>
          <w:rFonts w:ascii="宋体" w:hAnsi="宋体" w:eastAsia="方正仿宋简体" w:cs="Times New Roman"/>
          <w:kern w:val="32"/>
          <w:sz w:val="34"/>
          <w:szCs w:val="20"/>
        </w:rPr>
        <w:t>(</w:t>
      </w:r>
      <w:r>
        <w:rPr>
          <w:rFonts w:hint="eastAsia" w:ascii="宋体" w:hAnsi="宋体" w:eastAsia="方正仿宋简体" w:cs="Times New Roman"/>
          <w:kern w:val="32"/>
          <w:sz w:val="34"/>
          <w:szCs w:val="20"/>
        </w:rPr>
        <w:t>阳江高新区</w:t>
      </w:r>
      <w:r>
        <w:rPr>
          <w:rFonts w:ascii="宋体" w:hAnsi="宋体" w:eastAsia="方正仿宋简体" w:cs="Times New Roman"/>
          <w:kern w:val="32"/>
          <w:sz w:val="34"/>
          <w:szCs w:val="20"/>
        </w:rPr>
        <w:t>)</w:t>
      </w:r>
      <w:r>
        <w:rPr>
          <w:rFonts w:hint="eastAsia" w:ascii="宋体" w:hAnsi="宋体" w:eastAsia="方正仿宋简体" w:cs="Times New Roman"/>
          <w:kern w:val="32"/>
          <w:sz w:val="34"/>
          <w:szCs w:val="20"/>
        </w:rPr>
        <w:t>九姜大河出海口等禁养区内</w:t>
      </w:r>
      <w:r>
        <w:rPr>
          <w:rFonts w:ascii="宋体" w:hAnsi="宋体" w:eastAsia="方正仿宋简体" w:cs="Times New Roman"/>
          <w:kern w:val="32"/>
          <w:sz w:val="34"/>
          <w:szCs w:val="20"/>
        </w:rPr>
        <w:t>900</w:t>
      </w:r>
      <w:r>
        <w:rPr>
          <w:rFonts w:hint="eastAsia" w:ascii="宋体" w:hAnsi="宋体" w:eastAsia="方正仿宋简体" w:cs="Times New Roman"/>
          <w:kern w:val="32"/>
          <w:sz w:val="34"/>
          <w:szCs w:val="20"/>
        </w:rPr>
        <w:t>亩违规养殖面积清理整治工作。〔责任单位：阳西县、阳江滨海新区</w:t>
      </w:r>
      <w:r>
        <w:rPr>
          <w:rFonts w:ascii="宋体" w:hAnsi="宋体" w:eastAsia="方正仿宋简体" w:cs="Times New Roman"/>
          <w:kern w:val="32"/>
          <w:sz w:val="34"/>
          <w:szCs w:val="20"/>
        </w:rPr>
        <w:t>(</w:t>
      </w:r>
      <w:r>
        <w:rPr>
          <w:rFonts w:hint="eastAsia" w:ascii="宋体" w:hAnsi="宋体" w:eastAsia="方正仿宋简体" w:cs="Times New Roman"/>
          <w:kern w:val="32"/>
          <w:sz w:val="34"/>
          <w:szCs w:val="20"/>
        </w:rPr>
        <w:t>阳江高新区</w:t>
      </w:r>
      <w:r>
        <w:rPr>
          <w:rFonts w:ascii="宋体" w:hAnsi="宋体" w:eastAsia="方正仿宋简体" w:cs="Times New Roman"/>
          <w:kern w:val="32"/>
          <w:sz w:val="34"/>
          <w:szCs w:val="20"/>
        </w:rPr>
        <w:t>)</w:t>
      </w:r>
      <w:r>
        <w:rPr>
          <w:rFonts w:hint="eastAsia" w:ascii="宋体" w:hAnsi="宋体" w:eastAsia="方正仿宋简体" w:cs="Times New Roman"/>
          <w:kern w:val="32"/>
          <w:sz w:val="34"/>
          <w:szCs w:val="20"/>
        </w:rPr>
        <w:t>党</w:t>
      </w:r>
      <w:r>
        <w:rPr>
          <w:rFonts w:ascii="宋体" w:hAnsi="宋体" w:eastAsia="方正仿宋简体" w:cs="Times New Roman"/>
          <w:kern w:val="32"/>
          <w:sz w:val="34"/>
          <w:szCs w:val="20"/>
        </w:rPr>
        <w:t>(</w:t>
      </w:r>
      <w:r>
        <w:rPr>
          <w:rFonts w:hint="eastAsia" w:ascii="宋体" w:hAnsi="宋体" w:eastAsia="方正仿宋简体" w:cs="Times New Roman"/>
          <w:kern w:val="32"/>
          <w:sz w:val="34"/>
          <w:szCs w:val="20"/>
        </w:rPr>
        <w:t>工</w:t>
      </w:r>
      <w:r>
        <w:rPr>
          <w:rFonts w:ascii="宋体" w:hAnsi="宋体" w:eastAsia="方正仿宋简体" w:cs="Times New Roman"/>
          <w:kern w:val="32"/>
          <w:sz w:val="34"/>
          <w:szCs w:val="20"/>
        </w:rPr>
        <w:t>)</w:t>
      </w:r>
      <w:r>
        <w:rPr>
          <w:rFonts w:hint="eastAsia" w:ascii="宋体" w:hAnsi="宋体" w:eastAsia="方正仿宋简体" w:cs="Times New Roman"/>
          <w:kern w:val="32"/>
          <w:sz w:val="34"/>
          <w:szCs w:val="20"/>
        </w:rPr>
        <w:t>委和政府</w:t>
      </w:r>
      <w:r>
        <w:rPr>
          <w:rFonts w:ascii="宋体" w:hAnsi="宋体" w:eastAsia="方正仿宋简体" w:cs="Times New Roman"/>
          <w:kern w:val="32"/>
          <w:sz w:val="34"/>
          <w:szCs w:val="20"/>
        </w:rPr>
        <w:t>(</w:t>
      </w:r>
      <w:r>
        <w:rPr>
          <w:rFonts w:hint="eastAsia" w:ascii="宋体" w:hAnsi="宋体" w:eastAsia="方正仿宋简体" w:cs="Times New Roman"/>
          <w:kern w:val="32"/>
          <w:sz w:val="34"/>
          <w:szCs w:val="20"/>
        </w:rPr>
        <w:t>管委会</w:t>
      </w:r>
      <w:r>
        <w:rPr>
          <w:rFonts w:ascii="宋体" w:hAnsi="宋体" w:eastAsia="方正仿宋简体" w:cs="Times New Roman"/>
          <w:kern w:val="32"/>
          <w:sz w:val="34"/>
          <w:szCs w:val="20"/>
        </w:rPr>
        <w:t>)(</w:t>
      </w:r>
      <w:r>
        <w:rPr>
          <w:rFonts w:hint="eastAsia" w:ascii="宋体" w:hAnsi="宋体" w:eastAsia="方正仿宋简体" w:cs="Times New Roman"/>
          <w:kern w:val="32"/>
          <w:sz w:val="34"/>
          <w:szCs w:val="20"/>
        </w:rPr>
        <w:t>除特别注明，排序第一的单位为整改措施牵头单位，下同</w:t>
      </w:r>
      <w:r>
        <w:rPr>
          <w:rFonts w:ascii="宋体" w:hAnsi="宋体" w:eastAsia="方正仿宋简体" w:cs="Times New Roman"/>
          <w:kern w:val="32"/>
          <w:sz w:val="34"/>
          <w:szCs w:val="20"/>
        </w:rPr>
        <w:t>)</w:t>
      </w:r>
      <w:r>
        <w:rPr>
          <w:rFonts w:hint="eastAsia" w:ascii="宋体" w:hAnsi="宋体" w:eastAsia="方正仿宋简体" w:cs="Times New Roman"/>
          <w:kern w:val="32"/>
          <w:sz w:val="34"/>
          <w:szCs w:val="20"/>
        </w:rPr>
        <w:t>；完成期限：</w:t>
      </w:r>
      <w:r>
        <w:rPr>
          <w:rFonts w:ascii="宋体" w:hAnsi="宋体" w:eastAsia="方正仿宋简体" w:cs="Times New Roman"/>
          <w:kern w:val="32"/>
          <w:sz w:val="34"/>
          <w:szCs w:val="20"/>
        </w:rPr>
        <w:t>2025</w:t>
      </w:r>
      <w:r>
        <w:rPr>
          <w:rFonts w:hint="eastAsia" w:ascii="宋体" w:hAnsi="宋体" w:eastAsia="方正仿宋简体" w:cs="Times New Roman"/>
          <w:kern w:val="32"/>
          <w:sz w:val="34"/>
          <w:szCs w:val="20"/>
        </w:rPr>
        <w:t>年</w:t>
      </w:r>
      <w:r>
        <w:rPr>
          <w:rFonts w:ascii="宋体" w:hAnsi="宋体" w:eastAsia="方正仿宋简体" w:cs="Times New Roman"/>
          <w:kern w:val="32"/>
          <w:sz w:val="34"/>
          <w:szCs w:val="20"/>
        </w:rPr>
        <w:t>6</w:t>
      </w:r>
      <w:r>
        <w:rPr>
          <w:rFonts w:hint="eastAsia" w:ascii="宋体" w:hAnsi="宋体" w:eastAsia="方正仿宋简体" w:cs="Times New Roman"/>
          <w:kern w:val="32"/>
          <w:sz w:val="34"/>
          <w:szCs w:val="20"/>
        </w:rPr>
        <w:t>月底前〕</w:t>
      </w:r>
    </w:p>
    <w:p w14:paraId="17F11333">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市农业农村局做好海水养殖的规划和污染防治工作，加强监管和指导，适时通报清理进度；市自然资源局督促各沿海县(区)开展养殖用海的摸排和核发许可证工作；市水务局按照自身职能，加强本领域内取用水监督管理，配合完成禁养区内养殖面积清理工作任务；市生态环境局完成入海排污口排查和备案。各沿海县(区)举一反三，压实工作责任，对辖区内未完成的整改工作任务，于2025年3月底前完成调查摸底工作，2025年年底前完成禁养区内养殖面积清理工作。〔责任单位：市农业农村局、市自然资源局、市水务局、市生态环境局，各沿海县(区)党(工)委和政府(管委会)；完成期限：2025年年底前〕</w:t>
      </w:r>
    </w:p>
    <w:p w14:paraId="68AD30B2">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二、海水养殖项目环境影响评价工作滞后，省有关文件要求2019年后新、改、扩建的海水养殖项目须于2023年6月前按规定开展环境影响评价，至督察进驻时，阳江市9个项目仍有7个未开展。</w:t>
      </w:r>
    </w:p>
    <w:p w14:paraId="208DC639">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责任单位：市生态环境局、市农业农村局、市自然资源局、市水务局，各沿海县(区)党(工)委和政府(管委会)</w:t>
      </w:r>
    </w:p>
    <w:p w14:paraId="6530341B">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整改目标：按规定开展环境影响评价，全面完成全市9个海水养殖项目环境影响评价手续。</w:t>
      </w:r>
    </w:p>
    <w:p w14:paraId="39422073">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整改时限：2025年年底前</w:t>
      </w:r>
    </w:p>
    <w:p w14:paraId="58FB9509">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w:t>
      </w:r>
    </w:p>
    <w:p w14:paraId="7E12B71C">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市生态环境局会同市农业农村局、市自然资源局、市水务局，全面梳理全市海水养殖项目清单；各沿海县(区)加快开展海水养殖项目环评完善工作，组织养殖场相关人员召开专门会议宣传教育；做好调度进展情况及现场督导工作，全面完成全市9个海水养殖项目环境影响评价手续。〔责任单位：市生态环境局、市农业农村局、市自然资源局、市水务局，各沿海县(区)党(工)委和政府(管委会)；完成期限：2025年年底前〕</w:t>
      </w:r>
    </w:p>
    <w:p w14:paraId="594953C5">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完成阳西县4个、阳东区3个、江城区1个、阳江滨海新区(阳江高新区)1个海水养殖项目的环评手续办理。〔责任单位：江城区、阳东区、阳西县、阳江滨海新区(阳江高新区)党(工)委和政府(管委会)；完成期限：2025年年底前〕</w:t>
      </w:r>
    </w:p>
    <w:p w14:paraId="41C0C609">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三、砂质岸线保护不到位，江城区埠场镇，阳东区雅韶镇、大沟镇，海陵试验区白蒲镇，阳西县溪头镇等部分海水养殖项目排污口违规设置在砂质岸滩上，养殖尾水冲刷侵蚀砂质岸线，形成黑色污染带。</w:t>
      </w:r>
    </w:p>
    <w:p w14:paraId="08DBBA43">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责任单位：市农业农村局、市生态环境局、市自然资源局牵头，各沿海县(区)党(工)委和政府(管委会)配合</w:t>
      </w:r>
    </w:p>
    <w:p w14:paraId="4FBA2454">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整改目标：完成全市海水养殖尾水治理工作；基本完成位于砂质岸线的入海排污口分类整治任务；做好砂质岸线保护。</w:t>
      </w:r>
    </w:p>
    <w:p w14:paraId="3E41E3D8">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整改时限：2026年年底前</w:t>
      </w:r>
    </w:p>
    <w:p w14:paraId="724F0183">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w:t>
      </w:r>
    </w:p>
    <w:p w14:paraId="099CA7E2">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市农业农村局指导各沿海县(区)落实水产养殖清单化管理，推进水产养殖尾水治理设施建设；市生态环境局加强海水养殖入海排污口“查、测、溯、治”，稳妥推进海水养殖入海排污口整治及管理，定期开展水产养殖尾水水质监测。(责任单位：市农业农村局、市生态环境局；完成期限：2025年年底前)</w:t>
      </w:r>
    </w:p>
    <w:p w14:paraId="2C7D18C6">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以各沿海县(区)为整改单位，压实工作责任，对辖区内未完成的整改工作任务，于2025年3月底前完成调查摸底工作，2025年年底前完成海水养殖尾水治理工作。〔责任单位：各沿海县(区)党(工)委和政府(管委会)；完成期限：2025年年底前〕</w:t>
      </w:r>
    </w:p>
    <w:p w14:paraId="5C220E3B">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三)阳东区、阳西县、阳江滨海新区(阳江高新区)根据《阳江市入海排污口分类整治工作方案》，于2025年年底前完成整治70个〔阳东区13个，阳西县56个，阳江滨海新区(阳江高新区)1个〕位于砂质岸线的入海排污口，2026年年底前基本完成分类整治任务。〔责任单位：阳东区、阳西县、阳江滨海新区(阳江高新区)党(工)委和政府(管委会)，市生态环境局；完成期限：2026年年底前〕</w:t>
      </w:r>
    </w:p>
    <w:p w14:paraId="0564B531">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(四)市自然资源局组织督促有关单位对受损的海岸线进行生态系统修复。〔责任单位：各沿海县(区)党(工)委和政府(管委会)，市自然资源局；完成期限：2026年年底前〕</w:t>
      </w:r>
    </w:p>
    <w:p w14:paraId="3D4B3756">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四、蚝加工污染防治不到位，省委巡视指出，阳西县程村河堤两岸60间蚝档污水污泥直排程村河，导致该河段水质劣Ⅴ类；蚝壳回收利用滞后，全镇日均产出36吨蚝壳，历史积存约12.41万吨，日处理量仅17.8吨，蚝壳随意丢弃、堆积，形成一座座“蚝壳山”。</w:t>
      </w:r>
    </w:p>
    <w:p w14:paraId="4F621939">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责任单位：阳西县党委和政府</w:t>
      </w:r>
    </w:p>
    <w:p w14:paraId="354B50B7">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督导单位：市生态环境局、市农业农村局、市水务局(除特别注明，排序第一的督导单位为验收销号牵头单位，下同)</w:t>
      </w:r>
    </w:p>
    <w:p w14:paraId="1EB4D900">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整改目标：程村河水质改善至Ⅴ类，蚝壳日处理能力提升至400吨，完成蚝壳历史积存量处理。</w:t>
      </w:r>
    </w:p>
    <w:p w14:paraId="27664A5B">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整改时限：2027年年底前</w:t>
      </w:r>
    </w:p>
    <w:p w14:paraId="0EFA2650">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w:t>
      </w:r>
    </w:p>
    <w:p w14:paraId="461CD979">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开展程村河蚝批发交易市场综合整治。2025年9月底前完成污水处理设施及配套管网建设，将程村河堤两岸60间蚝档生产废水接入程村镇污水处理厂进行集中处理。实施河道清淤工程，提高水体纳污和自净能力，2025年年底前程村河水质达到Ⅴ类。(责任单位：阳西县党委和政府；完成期限：2025年年底前)</w:t>
      </w:r>
    </w:p>
    <w:p w14:paraId="4CC12936">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2025年6月底前印发实施阳西县程村镇生蚝加工行业规范管理方案。规范生蚝加工行业管理，签订门前三包责任书和承诺书，引导蚝批发市场商户及蚝壳加工行业从业者规范堆放蚝壳，规范蚝壳运输过程，统一将蚝壳运输到蚝产业园(三期)的临时堆放场。(责任单位：阳西县党委和政府；完成期限：2025年年底前)</w:t>
      </w:r>
    </w:p>
    <w:p w14:paraId="0F8A9F3A">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三)全面搬迁阳西县程村镇现有生蚝批发交易市场。加快推进程村蚝物流中心综合项目建设，并将生产废水接入程村镇污水处理厂进行集中处理，2025年9月竣工投入使用。建成后，启动程村镇现有生蚝批发交易市场全面搬迁工作，将全镇所有蚝档搬迁至该物流中心进行统一管理，从根本上解决现有生蚝批发交易市场影响河道水环境问题。(责任单位：阳西县党委和政府；完成期限：2025年年底前)</w:t>
      </w:r>
    </w:p>
    <w:p w14:paraId="6BFF2972">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四)推进蚝壳资源化利用。加快推进牡蛎壳废弃物与资源化利用项目，2025年11月建成投入使用，项目投产后蚝壳日处理能力提升至400吨，确保程村镇范围内新鲜蚝壳日产日清。2027年年底前完成对历史积存蚝壳的回收处理。(责任单位：阳西县党委和政府；完成期限：2027年年底前)</w:t>
      </w:r>
    </w:p>
    <w:p w14:paraId="653BFED8">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五、固体废物处理处置统筹谋划不足。一些地区和部门对解决突出环境问题的主动性不够，统筹推动工作总是“慢半拍”。建筑垃圾管控不力，阳江市至今未依法制定建筑垃圾污染环境防治工作规划，有关部门未严格履行建筑垃圾运输、处置等环节的核准职责，非法倾倒填埋现象频发。2021年以来，全市发放的建筑垃圾运输许可证、建筑垃圾处置(受纳)许可证均已失效，全市建筑垃圾没有合法运输、处置渠道。督察发现，阳东区北惯镇存在多处建筑垃圾倾倒点，其中锣鼓山点位多达10余个，体量超过1万立方米。</w:t>
      </w:r>
    </w:p>
    <w:p w14:paraId="4F30C5E3">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责任单位：市城管综合执法局、市住房城乡建设局、市交通运输局、市水务局、市公安局，各县(市、区)党(工)委和政府(管委会)</w:t>
      </w:r>
    </w:p>
    <w:p w14:paraId="3268E1B1">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整改目标：健全工作机制，规范建筑垃圾排放、运输、处置全过程管理，新增建筑垃圾资源化利用能力400吨/日。</w:t>
      </w:r>
    </w:p>
    <w:p w14:paraId="01B157BF">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整改时限：2026年年底前</w:t>
      </w:r>
    </w:p>
    <w:p w14:paraId="2CB1317D">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w:t>
      </w:r>
    </w:p>
    <w:p w14:paraId="64A6CFDC">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(一)出台阳江市建筑垃圾污染环境防治工作规划。(责任单位：市城管综合执法局；完成期限：2025年9月底前)</w:t>
      </w:r>
    </w:p>
    <w:p w14:paraId="2F07EBC0">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(二)建筑垃圾主管部门加强建筑垃圾全过程管理，严格实行城市建筑垃圾运输、处置核准，完善建筑垃圾运输、处置渠道。〔责任单位：各县(市、区)党(工)委和政府(管委会)；完成期限：立行立改，长期坚持〕</w:t>
      </w:r>
    </w:p>
    <w:p w14:paraId="1A64CAA3">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三)加强源头管控及减量监督管理，督促房屋市政、交通、水利工程的施工单位制定建筑垃圾处理方案并备案，按规范处置建筑垃圾。(责任单位：市住房城乡建设局、市交通运输局、市水务局；完成期限：立行立改，长期坚持)</w:t>
      </w:r>
    </w:p>
    <w:p w14:paraId="4EF78527">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(四)完成江城区固废处理环境园建筑垃圾消纳场项目建设并投入营运，新增建筑垃圾资源化利用能力400吨/日。(责任单位：江城区党委和政府；完成期限：2026年年底前)</w:t>
      </w:r>
    </w:p>
    <w:p w14:paraId="70A12356">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五)持续开展建筑垃圾专项整治联合执法行动，聚焦建筑垃圾排放、运输、处置、利用等关键环节，严厉打击和整治无证运输、未密闭运输、乱倾乱堆建筑垃圾等违法违规行为。〔责任单位：市城管综合执法局、市公安局、市交通运输局，各县(市、区)党(工)委和政府(管委会)；完成期限：立行立改，长期坚持〕</w:t>
      </w:r>
    </w:p>
    <w:p w14:paraId="75EFBD94">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六)加大对阳东区北惯镇建筑垃圾堆放点处理力度，逐步清理10多处非法建筑垃圾堆放点。同时，对阳东区北惯镇开展举一反三式排查，开展存量建筑垃圾专项巡查和整治，全面清理建筑垃圾非法倾倒点，严查建筑垃圾违规倾倒行为。(责任单位：阳东区党委和政府；完成期限：2025年年底前，长期坚持)</w:t>
      </w:r>
    </w:p>
    <w:p w14:paraId="61FA43C9">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六、医疗废物集中处置能力建设滞后，按照省有关要求，阳江市应于2023年底前新增1条日处理能力为5吨的焚烧线，督察进驻时该项目仍未动工。</w:t>
      </w:r>
    </w:p>
    <w:p w14:paraId="68C5F488">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责任单位：阳东区党委和政府</w:t>
      </w:r>
    </w:p>
    <w:p w14:paraId="6FCCE03F">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督导单位：市生态环境局、市卫生健康局、市发展改革局、市交通运输局</w:t>
      </w:r>
    </w:p>
    <w:p w14:paraId="6317FA13">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整改目标：2025年年底前阳江市医疗废物焚烧处理工程(二期)项目建成投运，增加5吨日处理能力。</w:t>
      </w:r>
    </w:p>
    <w:p w14:paraId="55E08F4E">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整改时限：2025年年底前</w:t>
      </w:r>
    </w:p>
    <w:p w14:paraId="05779C5E">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w:t>
      </w:r>
    </w:p>
    <w:p w14:paraId="66F01F6A">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履行属地监管责任，加强对市有关医疗废物回收处理企业的医疗废物环境管理，加快厂区库存医疗废物清零，防范环境风险隐患。对现阶段超过处置能力的医疗废物，通过委托外运的方式妥善处理，防止医疗废物在厂区积存。(责任单位：阳东区党委和政府；完成期限：2025年年底前)</w:t>
      </w:r>
    </w:p>
    <w:p w14:paraId="7E0169A0">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加强工作统筹力度和业务指导，市生态环境局负责指导项目环评审批、排污许可证办理、环境监管等。市卫生健康局负责指导医疗废物收集、运送、贮存、处置活动中的疾病防治工作等。市发展改革局负责指导项目立项、医疗废物处置收费等工作。市交通运输局负责指导医疗废物运输车辆资质管理等工作。(责任单位：市生态环境局、市卫生健康局、市发展改革局、市交通运输局；完成期限：2025年年底前)</w:t>
      </w:r>
    </w:p>
    <w:p w14:paraId="13FF7015">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三)履行项目实施主体责任，开展项目挂网招标工作，加强部门联动，督促中标单位加快项目立项、风评、环评等相关手续办理，确保项目建成投运，增加5吨日处理能力。(责任单位：阳东区党委和政府；完成期限：2025年年底前)</w:t>
      </w:r>
    </w:p>
    <w:p w14:paraId="610A42BF">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七、部分重要环境管理制度落实不够到位。一些地区和部门基础工作抓得不够紧、不够实，贯彻落实缺少有效办法。排水许可制度执行不严格，阳江市2021年颁布实施城市排水管理办法，规定“排水户未取得排水许可证，不得向城市排水设施排放污水”，至督察进驻时，阳春市、海陵试验区、阳江滨海新区(阳江高新区)排水许可工作仍未开展、应发排水许可底数不清，江城区、阳东区、阳西县2949户排水户仍有2508户无证排水。</w:t>
      </w:r>
    </w:p>
    <w:p w14:paraId="5D86AA0D">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责任单位：市城管综合执法局，各县(市、区)党(工)委和政府(管委会)</w:t>
      </w:r>
    </w:p>
    <w:p w14:paraId="42F5BA7A">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整改目标：加强排水户污水排放监督与管理，重点排水户排水许可证应发尽发，全面提升排水许可证核发数量。</w:t>
      </w:r>
    </w:p>
    <w:p w14:paraId="48322254">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整改时限：立行立改，长期坚持</w:t>
      </w:r>
    </w:p>
    <w:p w14:paraId="6F6CBA91">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w:t>
      </w:r>
    </w:p>
    <w:p w14:paraId="1FDEAC3E">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加快完善城市排水管理体制机制。加快编制《阳江市排水管理办法实施细则》、《阳江市排水工程规划技术管理规定》，进一步明确全市排水设施全过程管理相关措施和要求。加强对各县(市、区)排水主管部门发证工作的监管和指导，并对工作情况开展调研和评估，及时对《阳江市城市建成区排水许可专项整治行动方案(试行)》进行修订，进一步理顺、完善城市排水管理体制机制，提升排水管理精细化水平。(责任单位：市城管综合执法局；完成期限：2025年6月底前)</w:t>
      </w:r>
    </w:p>
    <w:p w14:paraId="5689E85F">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积极开展普法宣传工作。结合排水户入户排查工作向排水户进一步普及《城镇排水与污水处理条例》、《城镇污水排入排水管网许可管理办法》、《阳江市城市排水管理办法》等相关法律法规和规章的宣传教育，同时在公园公益广告牌、LED显示屏、社区宣传栏等张贴、悬挂、播放宣传横幅和标语。〔责任单位：市城管综合执法局，各县(市、区)党(工)委和政府(管委会)；完成期限：立行立改，长期坚持〕</w:t>
      </w:r>
    </w:p>
    <w:p w14:paraId="5E19D9D6">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三)认真组织排水户调查摸底。完成已知存量排水户排查和信息登记工作，开展辖区内所有排水户调查工作，对各类排水户做好信息登记。所有核查的排水户要分街道划片归档，收集排水户详细信息，建立工作档案。〔责任单位：各县(市、区)党(工)委和政府(管委会)；完成期限：2025年年底前〕</w:t>
      </w:r>
    </w:p>
    <w:p w14:paraId="66F6B76D">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四)积极推进排水许可证批量办理。以2025年排水户排查数据为基础，推动存量排水户办证工作，逐步加强办证力度。2026年年底完成重点排水户排水许可证核发工作，持续推进其他排水户排水许可证核发工作。〔责任单位：市城管综合执法局，各县(市、区)党(工)委和政府(管委会)；完成期限：2026年年底前，长期坚持〕</w:t>
      </w:r>
    </w:p>
    <w:p w14:paraId="29EEC7D1">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五)扎实开展排水户复核工作。加强排水许可证的日常管理，做好资料归档、整理，以及排水许可证发证后排水内容变更、到期换证以及许可证撤回、注销等工作。〔责任单位：市城管综合执法局，各县(市、区)党(工)委和政府(管委会)；完成期限：立行立改，长期坚持〕</w:t>
      </w:r>
    </w:p>
    <w:p w14:paraId="6DC8F007">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八、最严格水资源管理制度落实不到位，按照阳江市考核要求，阳春市2022年、2023年万元工业增加值用水量应较2020年分别下降1%、3%，督察发现，阳春市2022年、2023年实际用水量较2020年不降反升2.5%、3.5%；广东阳东经济开发区2023年6月因私采地下水问题被省有关部门督办，至督察进驻时仍有36家企业违规取水问题未完成整改。</w:t>
      </w:r>
    </w:p>
    <w:p w14:paraId="4E325012">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责任单位：市水务局、市工业和信息化局，阳东区、阳春市党委和政府</w:t>
      </w:r>
    </w:p>
    <w:p w14:paraId="5EA02B18">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整改目标：阳春市2025年万元工业增加值用水量降幅达到考核目标值；全部完成广东阳东经济开发区36家违规取水企业整改。</w:t>
      </w:r>
    </w:p>
    <w:p w14:paraId="75FE0FFB">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整改时限：2026年年底前</w:t>
      </w:r>
    </w:p>
    <w:p w14:paraId="74902269">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w:t>
      </w:r>
    </w:p>
    <w:p w14:paraId="12E13BA3">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督促阳春市相关企业合理规范用水，加强统计数据准确核算，完成对阳春市万元工业增加值用水量问题的整改；督促广东阳东经济开发区36家企业尽快进行铺网，解决违规取水问题，指导相关取水户办理合规取用水手续并加强后续监督。(责任单位：市水务局、市工业和信息化局，阳东区、阳春市党委和政府；完成期限：2025年年底前)</w:t>
      </w:r>
    </w:p>
    <w:p w14:paraId="3A2D367C">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全面贯彻落实《广东省迎接2024年度国家实行最严格水资源管理制度考核工作方案》，指导企业做好节水工作，推动企业开展节水技术改造。实施计划用水管理，推进工业用水集约节约利用，降低2025年万元工业增加值用水量。(责任单位：市水务局、阳春市党委和政府；完成期限：2025年年底前)</w:t>
      </w:r>
    </w:p>
    <w:p w14:paraId="51AF0607">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三)2025年年底前，督促责任单位完成涉及整改企业范围的自来水主管网的铺设工作；2026年6月底前，督促广东阳东经济开发区36家违规取水企业完成自来水报装工作；完成广东阳东经济开发区36家违规取水企业整改，并按规定核发地下水许可证。(责任单位：阳东区党委和政府；完成期限：2026年年底前)</w:t>
      </w:r>
    </w:p>
    <w:p w14:paraId="6B12A98B">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九、生态环境损害赔偿制度落实不到位，该指标纳入省污染防治攻坚战考核，但阳江市连续四年均未完成任务，2018年以来全市累计开展生态环境损害索赔实践仅3宗，全省倒数第一，其中2021年、2023年未开展索赔实践，未能对生态环境违法行为形成强大威慑力。</w:t>
      </w:r>
    </w:p>
    <w:p w14:paraId="573B7EB4">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责任单位：市生态环境局、市中级法院、市检察院、市自然资源局、市住房城乡建设局、市农业农村局、市水务局、市城管综合执法局、市林业局，各县(市、区)党(工)委和政府(管委会)</w:t>
      </w:r>
    </w:p>
    <w:p w14:paraId="6BAC258B">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整改目标：落实主体责任，结合省有关考核要求，健全完善案件线索筛查机制，确保生态环境损害赔偿各项工作任务全面落到实处。</w:t>
      </w:r>
    </w:p>
    <w:p w14:paraId="45467961">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整改时限：立行立改，长期坚持</w:t>
      </w:r>
    </w:p>
    <w:p w14:paraId="741EAC1C">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w:t>
      </w:r>
    </w:p>
    <w:p w14:paraId="7185208B">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加强部门联动，形成合力。建立自然资源、生态环境、住房和城乡建设、水务、农业农村、综合执法、林业等主管部门的联动机制以及线索排查报送机制，促进生态环境损害赔偿工作全面落到实处。(责任单位：市生态环境局、市自然资源局、市住房城乡建设局、市农业农村局、市水务局、市城管综合执法局、市林业局；完成期限：2025年年底前)</w:t>
      </w:r>
    </w:p>
    <w:p w14:paraId="06D1D73D">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落实“一案双查”，做到应赔尽赔。各相关职能部门要结合日常行政检查和行政处罚工作，开展“一案双查，一体处理”，全面排查符合生态环境损害赔偿案件的线索。〔责任单位：市生态环境局、市自然资源局、市住房城乡建设局、市农业农村局、市水务局、市城管综合执法局、市林业局，各县(市、区)党(工)委和政府(管委会)；完成期限：立行立改，长期坚持〕</w:t>
      </w:r>
    </w:p>
    <w:p w14:paraId="13BA8016">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三)加大宣传力度，鼓励公众参与。强化舆论引导，大力宣传生态环境损害赔偿的相关政策，引导广大企业自觉承担赔偿责任，推动“环境有价、损害赔偿”理念入脑入心。〔责任单位：市生态环境局、市自然资源局、市住房城乡建设局、市农业农村局、市水务局、市城管综合执法局、市林业局，各县(市、区)党(工)委和政府(管委会)；完成期限：立行立改，长期坚持〕</w:t>
      </w:r>
    </w:p>
    <w:p w14:paraId="04436FCA">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四)加强与专业机构的衔接，引入专业评估机构、业内专家协助办案，不断提高生态环境损害赔偿案件办案质量和效率。〔责任单位：市生态环境局、市中级法院、市检察院、市自然资源局、市住房城乡建设局、市农业农村局、市水务局、市城管综合执法局、市林业局，各县(市、区)党(工)委和政府(管委会)；完成期限：2025年年底前〕</w:t>
      </w:r>
    </w:p>
    <w:p w14:paraId="4B06E7E5">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十、推动生态环境保护工作责任落实的力度和深度还不够，督察发现，在完善和细化覆盖全面的市、区(县)两级生态环境保护工作责任清单，明确生态环境保护具体事项牵头部门并依法依规向社会公开，实施生态环境保护专题报告，加强生态环境保护督察问责、正向激励、监督督办等方面的工作和机制还不健全。</w:t>
      </w:r>
    </w:p>
    <w:p w14:paraId="4D83B3D3">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责任单位：市生态环境保护委员会各成员单位，各县(市、区)党(工)委和政府(管委会)</w:t>
      </w:r>
    </w:p>
    <w:p w14:paraId="19CCCE94">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整改目标：提升推动生态环境保护工作责任落实的力度和深度，持续健全和完善生态环境保护方面的制度和机制。</w:t>
      </w:r>
    </w:p>
    <w:p w14:paraId="16837299">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整改时限：立行立改，持续整改</w:t>
      </w:r>
    </w:p>
    <w:p w14:paraId="1EA41EF7">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w:t>
      </w:r>
    </w:p>
    <w:p w14:paraId="74CF5A82">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进一步提高政治站位，把深入学习贯彻习近平生态文明思想以及习近平总书记视察广东重要讲话和重要指示精神作为重要政治任务，贯彻落实全国生态环境保护大会及全省生态环境保护大会精神，通过党委(党组)理论学习中心组学习会等形式深入开展研讨式、互动式、调研式学习，做到学懂弄通做实，切实增强“生态优先、绿色发展”的思想观念。〔责任单位：市生态环境保护委员会各成员单位，各县(市、区)党(工)委和政府(管委会)；完成期限：立行立改，持续整改〕</w:t>
      </w:r>
    </w:p>
    <w:p w14:paraId="2BCBBE03">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市、县两级党委、政府将生态环境保护工作纳入重要议事日程，召开党委常委会会议、政府常务会议定期研究部署生态环境保护工作，听取生态环境保护情况报告。进一步压实生态环境保护工作责任，完善和细化市、县两级生态环境保护责任清单，持续健全完善生态环境保护方面的制度和机制。市各有关单位落实“管发展必须管环保，管生产必须管环保，管行业必须管环保”要求，切实按照生态环境保护责任清单要求履职尽责。组织承担重要生态环境保护职责的职能部门，依照法律法规及“三定”规定等政策文件，明确部门在生态环境保护方面的具体事项并依法依规向社会公开；生态环境保护具体事项的牵头部门每年向同级党委和政府报告生态环境保护职责履行情况。〔责任单位：市生态环境保护委员会各成员单位，各县(市、区)党(工)委和政府(管委会)；完成期限：立行立改，持续整改〕</w:t>
      </w:r>
    </w:p>
    <w:p w14:paraId="1A3EFE22">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三)健全完善生态文明建设考评体系，强化考核结果运用，与干部的教育培训和管理监督相结合，进一步激发各级领导干部抓生态环境保护工作的主动性。〔责任单位：市生态环境保护委员会各成员单位，各县(市、区)党(工)委和政府(管委会)；完成期限：立行立改，持续整改〕</w:t>
      </w:r>
    </w:p>
    <w:p w14:paraId="1A9A70FA">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四)加强对中央和省级生态环境保护督察反馈问题整改落实情况以及交办的群众举报问题办理完成情况的跟踪督办，切实推动问题整改完成。〔责任单位：市生态环境保护委员会各成员单位，各县(市、区)党(工)委和政府(管委会)；完成期限：立行立改，持续整改〕</w:t>
      </w:r>
    </w:p>
    <w:p w14:paraId="792B35E3">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(五)每年至少召开一次生态环境保护工作会议，研究部署重点生态环境保护工作。〔责任单位：市生态环境保护委员会各成员单位，各县(市、区)党(工)委和政府(管委会)；完成期限：立行立改，持续整改〕</w:t>
      </w:r>
    </w:p>
    <w:p w14:paraId="60AA68D4">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十一、漠阳江流域污染治理力度亟待提高。漠阳江是阳江市的母亲河，全流域基本在阳江市境内，有5个国考、2个省考断面，25个饮用水水源保护区，是全市重要的生产生活水源，但阳江市在推进漠阳江整治工作中系统性不足，全流域水质全面改善的基础仍不牢固，部分国考断面汛期水质超标，新开河、轮水河等一级支流水质仍为劣Ⅴ类。饮用水水源保护力度不足。饮用水水源地环境问题整治缓慢，全市2023年自查发现饮用水水源地环境问题76项，至督察进驻时仍有34项未完成整改。</w:t>
      </w:r>
    </w:p>
    <w:p w14:paraId="77107105">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责任单位：市生态环境局、市水务局，江城区、阳东区、阳春市、阳西县党委和政府</w:t>
      </w:r>
    </w:p>
    <w:p w14:paraId="1B927903">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2025年年底前新开河、轮水河水质达到地表水Ⅴ类标准，降低河口镇国考断面汛期超标风险；2027年年底前完成全市2023年自查发现饮用水水源地环境问题34项整改；以全市集中式饮用水水源地环境安全、水源水质长期稳定达标为目标，加强饮用水水源地环境问题整治。</w:t>
      </w:r>
    </w:p>
    <w:p w14:paraId="742B36DD">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整改时限：2027年年底前</w:t>
      </w:r>
    </w:p>
    <w:p w14:paraId="12A98889">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w:t>
      </w:r>
    </w:p>
    <w:p w14:paraId="3F576734">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(一)强化漠阳江及一级支流新开河、轮水河的水质监测与污染溯源，提升监测频次和考核方式，通过水质通报、专项检查等方式推动漠阳江流域系统治理。(责任单位：市生态环境局；完成期限：2025年年底前)</w:t>
      </w:r>
    </w:p>
    <w:p w14:paraId="5F4D7EE4">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通过科学编制新开河、轮水河水体达标整治方案，细化管网排查与建设、排污口排查与整治、畜禽养殖污染整治等措施，确保新开河、轮水河2025年年底前水质达到地表水Ⅴ类标准。完成阳春市河西污水处理厂及配套管网工程建设，切实发挥重点工程污水处理效益。(责任单位：阳春市党委和政府；完成期限：2025年年底前)</w:t>
      </w:r>
    </w:p>
    <w:p w14:paraId="179231C0">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(三)组织完成潭水镇潭水河河堤饮用水水源保护区内违法生产经营活动的清理整治，做好漠阳江荔朗饮用水水源保护区内的整改工作。(责任单位：阳春市党委和政府；完成期限：2025年年底前)</w:t>
      </w:r>
    </w:p>
    <w:p w14:paraId="1124329D">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四)组织阳东县饮用水水源保护区内合山镇污水处理厂按原环评批复要求设置排放口；组织完成双滘镇塘角饮用水水源保护区、春湾镇云霖河前进南蛇湖饮用水水源保护区内违法生产经营活动的清理整治工作。(责任单位：阳东区、阳春市党委和政府；完成期限：2027年年底前)</w:t>
      </w:r>
    </w:p>
    <w:p w14:paraId="29C1BA7B">
      <w:pPr>
        <w:adjustRightInd w:val="0"/>
        <w:spacing w:line="594" w:lineRule="exact"/>
        <w:ind w:firstLine="666" w:firstLineChars="196"/>
        <w:rPr>
          <w:rFonts w:ascii="宋体" w:hAnsi="宋体" w:eastAsia="方正仿宋简体" w:cs="Times New Roman"/>
          <w:kern w:val="32"/>
          <w:sz w:val="34"/>
          <w:szCs w:val="20"/>
        </w:rPr>
      </w:pPr>
      <w:r>
        <w:rPr>
          <w:rFonts w:ascii="宋体" w:hAnsi="宋体" w:eastAsia="方正仿宋简体" w:cs="Times New Roman"/>
          <w:kern w:val="32"/>
          <w:sz w:val="34"/>
          <w:szCs w:val="20"/>
        </w:rPr>
        <w:t>(</w:t>
      </w:r>
      <w:r>
        <w:rPr>
          <w:rFonts w:hint="eastAsia" w:ascii="宋体" w:hAnsi="宋体" w:eastAsia="方正仿宋简体" w:cs="Times New Roman"/>
          <w:kern w:val="32"/>
          <w:sz w:val="34"/>
          <w:szCs w:val="20"/>
        </w:rPr>
        <w:t>五</w:t>
      </w:r>
      <w:r>
        <w:rPr>
          <w:rFonts w:ascii="宋体" w:hAnsi="宋体" w:eastAsia="方正仿宋简体" w:cs="Times New Roman"/>
          <w:kern w:val="32"/>
          <w:sz w:val="34"/>
          <w:szCs w:val="20"/>
        </w:rPr>
        <w:t>)</w:t>
      </w:r>
      <w:r>
        <w:rPr>
          <w:rFonts w:hint="eastAsia" w:ascii="宋体" w:hAnsi="宋体" w:eastAsia="方正仿宋简体" w:cs="Times New Roman"/>
          <w:kern w:val="32"/>
          <w:sz w:val="34"/>
          <w:szCs w:val="20"/>
        </w:rPr>
        <w:t>按照饮用水水源地规范化建设要求，完善阳东区红丰镇、塘坪镇、大八镇、那龙镇、大沟镇，以及阳春市松柏镇、河㙟镇、石望镇、春湾镇、合水镇、陂面镇集中式饮用水水源保护区隔离防护和标志牌建设。</w:t>
      </w:r>
      <w:r>
        <w:rPr>
          <w:rFonts w:ascii="宋体" w:hAnsi="宋体" w:eastAsia="方正仿宋简体" w:cs="Times New Roman"/>
          <w:kern w:val="32"/>
          <w:sz w:val="34"/>
          <w:szCs w:val="20"/>
        </w:rPr>
        <w:t>(</w:t>
      </w:r>
      <w:r>
        <w:rPr>
          <w:rFonts w:hint="eastAsia" w:ascii="宋体" w:hAnsi="宋体" w:eastAsia="方正仿宋简体" w:cs="Times New Roman"/>
          <w:kern w:val="32"/>
          <w:sz w:val="34"/>
          <w:szCs w:val="20"/>
        </w:rPr>
        <w:t>责任单位：阳东区、阳春市党委和政府；完成期限：</w:t>
      </w:r>
      <w:r>
        <w:rPr>
          <w:rFonts w:ascii="宋体" w:hAnsi="宋体" w:eastAsia="方正仿宋简体" w:cs="Times New Roman"/>
          <w:kern w:val="32"/>
          <w:sz w:val="34"/>
          <w:szCs w:val="20"/>
        </w:rPr>
        <w:t>2026</w:t>
      </w:r>
      <w:r>
        <w:rPr>
          <w:rFonts w:hint="eastAsia" w:ascii="宋体" w:hAnsi="宋体" w:eastAsia="方正仿宋简体" w:cs="Times New Roman"/>
          <w:kern w:val="32"/>
          <w:sz w:val="34"/>
          <w:szCs w:val="20"/>
        </w:rPr>
        <w:t>年年底前</w:t>
      </w:r>
      <w:r>
        <w:rPr>
          <w:rFonts w:ascii="宋体" w:hAnsi="宋体" w:eastAsia="方正仿宋简体" w:cs="Times New Roman"/>
          <w:kern w:val="32"/>
          <w:sz w:val="34"/>
          <w:szCs w:val="20"/>
        </w:rPr>
        <w:t>)</w:t>
      </w:r>
    </w:p>
    <w:p w14:paraId="0B1BF53F">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六)组织对阳东区大八镇、新洲镇，阳春市双滘镇、松柏镇、合水镇、陂面镇集中式饮用水水源保护区内镇、村生活污水进行有效收集处置，避免生活污水直接排入保护区水系。(责任单位：阳东区、阳春市党委和政府；完成期限：2026年年底前)</w:t>
      </w:r>
    </w:p>
    <w:p w14:paraId="0507633F">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七)组织加强阳东区红丰镇、大八镇、合山镇、大沟镇，阳春市石望镇、合水镇、陂面镇、圭岗镇，阳西县塘口镇、程村镇集中式饮用水水源保护区内种植面源污染防控，严控化肥农药使用，强化与科研机构等合作，研究推广有效的污染防控技术和管理方法，减少农业面源污染，并定期开展水质监测，确保种植区没有对保护区水质造成明显影响。(责任单位：阳东区、阳春市、阳西县党委和政府；完成期限：2026年年底前)</w:t>
      </w:r>
    </w:p>
    <w:p w14:paraId="455E3E33">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十二、部分饮用水水源取水口设立不规范，督察发现，阳春市河口镇饮用水取水口迁移出原划定保护区将近8年，仍未完成新迁移的饮用水水源保护区划定工作。</w:t>
      </w:r>
    </w:p>
    <w:p w14:paraId="1E148294">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责任单位：阳春市党委和政府</w:t>
      </w:r>
    </w:p>
    <w:p w14:paraId="3000237B">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督导单位：市水务局、市生态环境局</w:t>
      </w:r>
    </w:p>
    <w:p w14:paraId="1D1BEA56">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整改目标：2027年年底前完成阳春市相关镇饮用水水源保护区优化调整工作；加大水源地生态环境保护工作力度。</w:t>
      </w:r>
    </w:p>
    <w:p w14:paraId="5BF7742E">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整改时限：2027年年底前</w:t>
      </w:r>
    </w:p>
    <w:p w14:paraId="3B9F8419">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w:t>
      </w:r>
    </w:p>
    <w:p w14:paraId="6FA43DA1">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全面排查阳春市现有饮用水水源取水口，评估整改不符合设立要求的取水口，确保取水口的合法性与规范性；加强取水口监测与管理，及时掌握水质变化情况；定期对取水口及其周边环境进行巡查，防止人为破坏和非法取水行为。(责任单位：阳春市党委和政府；完成期限：2026年年底前)</w:t>
      </w:r>
    </w:p>
    <w:p w14:paraId="6CE089E9">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根据阳春市相关实际供水格局和取水情况，由属地严格按照技术规范组织编制相应饮用水水源保护区优化调整方案，做好可行性研究、专家论证、公众听证、合法性审查等工作，报批饮用水水源保护区优化调整方案，保障饮用水安全。(责任单位：阳春市党委和政府；完成期限：2027年年底前)</w:t>
      </w:r>
    </w:p>
    <w:p w14:paraId="1579880C">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(三)组织做好相关乡镇集中式饮用水水源保护区矢量边界坐标更正，完善水源地保护区矢量边界信息。(责任单位：阳春市党委和政府；完成期限：2026年年底前)</w:t>
      </w:r>
    </w:p>
    <w:p w14:paraId="5D08E314">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十三、水环境基础设施不完善。污水收集处理能力不足，按照省、市两级“十四五”生态环境保护规划，阳江市应于2025年底前完成市区污水处理及排水排污管网改造项目，至督察进驻时435公里的雨污管网改造工程内容仅完成6公里；阳春市应于2023年底前完成河西污水处理厂及配套管网建设，至督察进驻时仍未竣工；应于2023年7月开工的阳春市城区污水处理厂配套管网建设工程，至督察进驻时尚未启动。</w:t>
      </w:r>
    </w:p>
    <w:p w14:paraId="7FD50414">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责任单位：市住房城乡建设局、市城管综合执法局牵头，江城区、阳春市党委和政府配合</w:t>
      </w:r>
    </w:p>
    <w:p w14:paraId="1A14C967">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整改目标：实施市区污水处理及排水排污管网改造项目。加快补齐阳春市城区污水处理能力缺口，推进阳春市城区污水管网全覆盖。</w:t>
      </w:r>
    </w:p>
    <w:p w14:paraId="5062FF97">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整改时限：2025年年底前</w:t>
      </w:r>
    </w:p>
    <w:p w14:paraId="0BC20B4B">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w:t>
      </w:r>
    </w:p>
    <w:p w14:paraId="12130FBF">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市城管综合执法局按EPC建设模式分为两标段加快推进市区污水处理及排水排污管网改造项目的建设。项目二标段现正加快推进施工；项目一标段定于2025年5月底前完成工程总承包招标并加紧推进工程施工。发挥工程总承包优势，加强施工组织领导，强化施工力量，推进多点多面管网同时施工，2025年年底完成本项目主要工程量施工任务，完成改造雨污管道155公里，新增雨污管道约150公里。在完成主要工程量并试运行基础上开展查漏补缺，对排水排污管网尤其源头雨污管道进行再完善，预计新建雨污管道(小管径)50公里，改造雨污管道(小管径)80公里。(责任单位：市城管综合执法局、市住房城乡建设局，江城区党委和政府；完成期限：2025年年底前)</w:t>
      </w:r>
    </w:p>
    <w:p w14:paraId="18A32E3C">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(二)阳春市河西污水处理厂及配套管网建设项目竣工；阳春市城区污水处理厂配套管网建设工程建设完成。(责任单位：市住房城乡建设局，阳春市党委和政府；完成期限：2025年年底前)</w:t>
      </w:r>
    </w:p>
    <w:p w14:paraId="5B7AF68F">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十四、提质增效工作推进缓慢，阳东区大八镇等6个镇区的人工湿地污水处理系统设计不合理，出水长期未达标，按照《阳江市生态环境保护“十四五”规划》要求，应于2023年底前完成升级改造，至督察进驻时仅动工建设2座。资料显示，2023年阳江市辖区、阳春市城市生活污水收集率仅48.58%和19.79%，进水BOD5浓度高于100毫克/升的城市生活污水处理厂规模占比均为零，未达目标要求；漠阳江全流域内19个在用镇级污水处理厂中，进水BOD5浓度低于50mg/L的13个，其中低于30mg/L的3个。</w:t>
      </w:r>
    </w:p>
    <w:p w14:paraId="0B20D15B">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责任单位：市住房城乡建设局、市城管综合执法局、市水务局、市生态环境局，阳东区、江城区、阳江滨海新区(阳江高新区)、阳春市党(工)委和政府(管委会)</w:t>
      </w:r>
    </w:p>
    <w:p w14:paraId="1386ABCF">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整改目标：以提高城市生活污水集中收集率、城镇污水处理设施进水污染物浓度为目标，推进镇级污水处理设施升级改造，逐步推进城镇生活污水收集处理设施建设修复工作。</w:t>
      </w:r>
    </w:p>
    <w:p w14:paraId="3E884E4D">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整改时限：2025年年底前</w:t>
      </w:r>
    </w:p>
    <w:p w14:paraId="4AE25E2B">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w:t>
      </w:r>
    </w:p>
    <w:p w14:paraId="20EA7F32">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(一)阳东区6个镇级人工湿地升级改造项目全部动工建设。(责任单位：市住房城乡建设局、市生态环境局，阳东区党委和政府；完成期限：2025年年底前)</w:t>
      </w:r>
    </w:p>
    <w:p w14:paraId="0C581647">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持续推进城区污水处理设施建设、老旧管网改造等工作，优先开展配套管网的缺陷修复及清污分流改造，逐步提高城区污水处理厂进水浓度，提高城区污水集中收集率，加快推动市区污水处理及排水排污管网改造项目、阳春市城区污水处理厂配套管网建设工程等项目建设。阳江市辖区、阳春市城市生活污水收集率相比于2020年提高5%以上，进水BOD5浓度高于100mg/L的城市生活污水处理厂规模占比达到5%。〔责任单位：市住房城乡建设局、市城管综合执法局、市水务局、市生态环境局，江城区、阳东区、阳江滨海新区(阳江高新区)、阳春市党(工)委和政府(管委会)；完成期限：2025年年底前〕</w:t>
      </w:r>
    </w:p>
    <w:p w14:paraId="70DF025E">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三)阳江市全流域19个在用镇级污水处理厂进水BOD5浓度达到50mg/L。〔责任单位：市住房城乡建设局、市水务局、市生态环境局，江城区、阳东区、阳江滨海新区(阳江高新区)、阳春市党(工)委和政府(管委会)；完成期限：2025年年底前〕</w:t>
      </w:r>
    </w:p>
    <w:p w14:paraId="132A676E">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十五、污水处理设施运维不到位。缺陷管网修复力度不足，阳江市2022年排查发现江城区存在管网错混接问题1245个、影响通水和收集效能的缺陷14913处，至督察进驻时仅修复20处；阳春市中心城区存在排水管网错混接点250个，排水管道缺陷共2174处，至督察进驻时仍未采取有力措施予以修复。</w:t>
      </w:r>
    </w:p>
    <w:p w14:paraId="19EAC3DF">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责任单位：市城管综合执法局、市住房城乡建设局，江城区、阳春市党委和政府</w:t>
      </w:r>
    </w:p>
    <w:p w14:paraId="174031EE">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整改目标：采取有力措施对江城区、阳春市已排查的排水管网缺陷予以修复，提高城区生活污水管网收集效能。对排查发现错混接问题全部予以修复。</w:t>
      </w:r>
    </w:p>
    <w:p w14:paraId="40D65397">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整改时限：2027年年底前</w:t>
      </w:r>
    </w:p>
    <w:p w14:paraId="557FCD08">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w:t>
      </w:r>
    </w:p>
    <w:p w14:paraId="40354F0A">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(一)根据广东省住房和城乡建设厅发布的《室外排水管道检测与评估技术标准》(DBJ/T 15─269─2024)规定，已针对Ⅱ级管道缺陷(含管网错混接)编制了修复计划。针对Ⅲ、Ⅳ级管道缺陷(含管网错混接)，在2027年年底前完成修复。(责任单位：市城管综合执法局、市住房城乡建设局，江城区、阳春市党委和政府；完成期限：2027年年底前)</w:t>
      </w:r>
    </w:p>
    <w:p w14:paraId="4689727B">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进一步加强管网CCTV检测，排查污水源头并加强污水源头治理。对具备施工条件的错混接问题立行立改，对暂未具备施工条件的错混接问题制定方案分阶段完成整改。(责任单位：市城管综合执法局、市住房城乡建设局，江城区、阳春市党委和政府；完成期限：2027年年底前)</w:t>
      </w:r>
    </w:p>
    <w:p w14:paraId="1C6D127C">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十六、设施维护管护不到位，督察发现，阳春市双滘镇生活污水处理厂受台风影响自2023年10月起停运，至督察进驻时仍未恢复运行，据估算，期间逾13万吨生活污水直排；阳东区大八镇等6个镇区的人工湿地污水处理系统运维不到位，治污效能较低；阳春市马水镇、岗美镇生活污水处理厂因进水主管堵塞破损，造成污水溢流；阳春市合水镇生活污水处理厂检查井雨(污)水溢流及厂区内涝问题未解决。</w:t>
      </w:r>
    </w:p>
    <w:p w14:paraId="4D4C0311">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责任单位：市住房城乡建设局，阳东区、阳春市党委和政府</w:t>
      </w:r>
    </w:p>
    <w:p w14:paraId="6014D1B1">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整改目标：加强镇级污水收集处理设施运维监督管理，保障镇级污水处理设施正常运行。</w:t>
      </w:r>
    </w:p>
    <w:p w14:paraId="273FE00A">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整改时限：2025年年底前</w:t>
      </w:r>
    </w:p>
    <w:p w14:paraId="744766F4">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阳东区大八镇等6个镇区的污水处理设施基本建成；阳春市双滘镇生活污水处理厂恢复运行，马水镇、岗美镇生活污水处理厂进水主管修复完毕，合水镇生活污水处理厂检查井雨(污)水溢流及厂区内涝问题彻底解决。(责任单位：市住房城乡建设局，阳东区、阳春市党委和政府；完成期限：2025年年底前)</w:t>
      </w:r>
    </w:p>
    <w:p w14:paraId="36A51D9A">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十七、畜禽养殖污染防治不到位。生猪养殖规划布局不够合理，阳江市2023年生猪出栏量达366万头，其中约80%生猪养殖集中在漠阳江流域轮水河、罂煲河、大八河、莲塘河、青冲河等支流乡镇，局部土地承载力不足或紧张，对漠阳江流域水质改善带来较大压力。据阳江市自测，阳春市岗美镇、河口镇及阳东区塘坪镇畜禽总饲养量已超出理论承载量，阳东区红五月农场承载量趋于饱和。</w:t>
      </w:r>
    </w:p>
    <w:p w14:paraId="23F7BDA5">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责任单位：市农业农村局、市生态环境局、市自然资源局、市水务局，各县(市、区)党(工)委和政府(管委会)</w:t>
      </w:r>
    </w:p>
    <w:p w14:paraId="1391606E">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整改目标：优化生猪养殖规划布局，防止出现局部土地承载力不足或紧张和水域污染问题。</w:t>
      </w:r>
    </w:p>
    <w:p w14:paraId="766A1DFA">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整改时限：2025年年底前</w:t>
      </w:r>
    </w:p>
    <w:p w14:paraId="07E7DA56">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w:t>
      </w:r>
    </w:p>
    <w:p w14:paraId="56174F71">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对漠阳江流域轮水河、罂煲河、大八河、莲塘河、青冲河等支流镇(街道)开展落实生猪养殖规划自查自纠，对饲养量已超出或接近理论承载量的镇(街道)加强畜禽粪污处理监管，督促、指导所在县、镇政府对畜禽粪便污水进行分户收集、集中处理利用；监管指导养殖场(户)优化养殖模式，加强畜禽养殖粪污资源化利用；统筹考虑畜禽养殖污染防治要求，合理布局，科学确定畜禽养殖的规模、总量，确保不超过所在地的土地承载力。阳春市、阳东区对将于2025年年底到期的本辖区畜牧业发展总体规划启动评估及修订，进一步优化养殖布局。〔责任单位：市农业农村局、市生态环境局，各县(市、区)党(工)委和政府(管委会)；完成期限：2025年年底前，持续整改〕</w:t>
      </w:r>
    </w:p>
    <w:p w14:paraId="463962DC">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加强养殖场(户)粪污处理的监管，对违法排污的养殖场(户)进行依法处理；对违法占用永久基本农田及耕地的养殖场(户)进行依法处理；对违规占用河道的养殖场(户)进行依法处理。〔责任单位：各县(市、区)党(工)委和政府(管委会)；完成期限：立行立改，长期坚持〕</w:t>
      </w:r>
    </w:p>
    <w:p w14:paraId="0C918C38">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十八、畜禽养殖粪污资源化利用效果不佳，大部分养殖场粪污处理采用水冲粪工艺，粪污外排外溢风险突出，督察发现，阳春市八甲镇清湖村、阳东区大八镇河垌村部分养殖户未配套污染防治设施；阳春市河西街道三湖村、河口镇梅垌村、阳东区大八镇珠环村部分养殖场集液池粪污外溢；漠阳江罂煲河、轮水河、大八河、莲塘河等重点支流沿程鱼塘积存大量畜禽养殖废水，汛期溢流情况严重。</w:t>
      </w:r>
    </w:p>
    <w:p w14:paraId="1886B9A5">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责任单位：市农业农村局、市生态环境局、市水务局，各县(市、区)党(工)委和政府(管委会)</w:t>
      </w:r>
    </w:p>
    <w:p w14:paraId="5F040933">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2025年年底前确保阳春市八甲镇清湖村、阳东区大八镇河垌村养殖户全部配套污染防治设施；修复阳春市河西街道三湖村、河口镇梅垌村，阳东区大八镇珠环村养殖场集液池，强化防渗措施，防止粪污外溢；完成漠阳江罂煲河、轮水河、大八河、莲塘河等重点支流沿程鱼塘积存畜禽养殖废水收集处理，杜绝畜禽养殖废水在汛期发生溢流。</w:t>
      </w:r>
    </w:p>
    <w:p w14:paraId="15DB2E56">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整改时限：2025年年底前</w:t>
      </w:r>
    </w:p>
    <w:p w14:paraId="2FEB8FF8">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w:t>
      </w:r>
    </w:p>
    <w:p w14:paraId="4A366E27">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(一)阳春市八甲镇清湖村、阳东区大八镇河垌村养殖户全部配套污染防治设施。(责任单位：市农业农村局、市生态环境局，阳春市、阳东区党委和政府；完成期限：2025年年底前)</w:t>
      </w:r>
    </w:p>
    <w:p w14:paraId="180BF7C6">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阳春市河西街道三湖村、河口镇梅垌村，阳东区大八镇珠环村开展养殖场全面排查，修复有粪污外溢的养殖场集液池，强化防渗措施，防止养殖场粪污外溢。(责任单位：市生态环境局、市农业农村局，阳春市、阳东区党委和政府；完成期限：2025年年底前)</w:t>
      </w:r>
    </w:p>
    <w:p w14:paraId="1BE8DF73">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三)各地建立漠阳江罂煲河、轮水河、大八河、莲塘河等重点支流沿程养殖场鱼塘积存畜禽养殖废水台账，养殖场或鱼塘主做好畜禽养殖废水收集处理工作并在鱼塘周边建设防雨隔水沟等设施防止鱼塘溢流，对无法防止养殖废水溢流的，应建设其他粪污处理设施设备。〔责任单位：市农业农村局、市生态环境局、市水务局，各县(市、区)党(工)委和政府(管委会)；完成期限：2025年年底前〕</w:t>
      </w:r>
    </w:p>
    <w:p w14:paraId="277C8EE7">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四)建立养殖场污染监管长效机制。加强对养殖场的监管，确保养殖场粪污处理设施设备有效运转，及时清理化粪池、集液池等，防止粪污外排外溢。加大排污执法力度，严厉查处养殖污染违法行为。〔责任单位：市生态环境局、市农业农村局、市水务局，各县(市、区)党(工)委和政府(管委会)；完成期限：立行立改，长期坚持〕</w:t>
      </w:r>
    </w:p>
    <w:p w14:paraId="0F1DC558">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十九、畜禽粪污资源化利用项目监管不到位，督察发现，个别企业已实施国家畜禽粪污资源化利用项目，并通过验收，取得财政资金奖补，但2023年以来未开展畜禽粪污收集处理工作。</w:t>
      </w:r>
    </w:p>
    <w:p w14:paraId="2CFFA5E0">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责任单位：市农业农村局、市生态环境局，阳东区、阳春市党委和政府</w:t>
      </w:r>
    </w:p>
    <w:p w14:paraId="6CAAB66D">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整改目标：确保实施畜禽粪污资源化利用项目的企业正常运营。</w:t>
      </w:r>
    </w:p>
    <w:p w14:paraId="73B70AC3">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整改时限：2025年年底前</w:t>
      </w:r>
    </w:p>
    <w:p w14:paraId="2B2BABCF">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阳东区、阳春市开展畜禽粪污资源化利用整县推进项目自查，加强对实施畜禽粪污资源化利用项目企业的监管，保障企业按照项目要求开展畜禽粪污收集处理等工作。(责任单位：市农业农村局、市生态环境局，阳东区、阳春市党委和政府；完成期限：2025年年底前)</w:t>
      </w:r>
    </w:p>
    <w:p w14:paraId="304E735D">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二十、一些领域生态环境安全底线不够牢固。生活垃圾处理处置存在风险隐患。阳春市新增生活垃圾处理设施建设推进滞后，督察发现，阳春市生活垃圾卫生填埋场设计库容126.38万立方米，已累计填埋122.38万立方米，但规划2024年建成的焚烧发电项目仍未启动。</w:t>
      </w:r>
    </w:p>
    <w:p w14:paraId="6980D285">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责任单位：阳春市党委和政府</w:t>
      </w:r>
    </w:p>
    <w:p w14:paraId="7A39594D">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督导单位：市城管综合执法局</w:t>
      </w:r>
    </w:p>
    <w:p w14:paraId="7F825964">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整改目标：2027年年底前完成焚烧发电项目建设并投入运营。</w:t>
      </w:r>
    </w:p>
    <w:p w14:paraId="3947BED5">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整改时限：2027年年底前</w:t>
      </w:r>
    </w:p>
    <w:p w14:paraId="5B9E3C20">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w:t>
      </w:r>
    </w:p>
    <w:p w14:paraId="30F7E292">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(一)加快推进焚烧发电项目前期工作，2025年年底前完成特许经营方招标工作，2027年年底前完成建设。(责任单位：阳春市党委和政府；完成期限：2027年年底前)</w:t>
      </w:r>
    </w:p>
    <w:p w14:paraId="237BF9D4">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开展《阳春市生活垃圾跨区域清运处理服务项目》招投标工作，于2024年12月完成开标工作，现已与中标单位签订合同，2025年开展生活垃圾跨区域清运工作。(责任单位：阳春市党委和政府；完成期限：2027年年底前)</w:t>
      </w:r>
    </w:p>
    <w:p w14:paraId="37041A58">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二十一、个别填埋场长期违规使用事故应急池，阳东区船尾石垃圾填埋场2022年9月起在场外事故应急池贮存渗滤液，督察进驻时仍积存渗滤液约9000吨。</w:t>
      </w:r>
    </w:p>
    <w:p w14:paraId="3BA1365C">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责任单位：阳东区党委和政府</w:t>
      </w:r>
    </w:p>
    <w:p w14:paraId="1895499A">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督导单位：市城管综合执法局</w:t>
      </w:r>
    </w:p>
    <w:p w14:paraId="4745EFC1">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整改目标：完成阳东区船尾石垃圾填埋场场外事故应急池渗滤液清零。</w:t>
      </w:r>
    </w:p>
    <w:p w14:paraId="17AE6AA1">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整改时限：2025年6月底前</w:t>
      </w:r>
    </w:p>
    <w:p w14:paraId="6A60EF7B">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加快完成渗滤液应急处理。通过管道直接抽回污水处理站处理，或者抽回场内渗滤液调节池进行浓度调节后再输送到污水处理站处理，加快9000吨积存渗滤液处理处置工作，确保在事故应急池临时贮存的渗滤液清零。(责任单位：阳东区党委和政府；完成期限：2025年6月底前)</w:t>
      </w:r>
    </w:p>
    <w:p w14:paraId="31540B4E">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二十二、工业园区环境污染治理存在薄弱环节。部分工业园区配套污水收集处理设施建设滞后，督察发现，广东阳东经济开发区污水管网仍存在缺口约62公里，园区工业废水长期就近直排河道；阳春产业转移工业园管网不完善，部分生活污水直排，导致园跃路中下游约300米河涌黑臭；广东阳东经济开发区、中山火炬(阳西)产业转移工业园、阳西县新墟产业园未落实规划环评审查提出的建设污水处理厂尾水专管意见；阳春产业转移工业园产业集聚地、阳西县新墟产业园配套污水处理厂未建成。</w:t>
      </w:r>
    </w:p>
    <w:p w14:paraId="4227035C">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责任单位：阳东区、阳春市、阳西县党委和政府</w:t>
      </w:r>
    </w:p>
    <w:p w14:paraId="439832C8">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督导单位：市生态环境局、市工业和信息化局、市住房城乡建设局</w:t>
      </w:r>
    </w:p>
    <w:p w14:paraId="7F61E446">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整改目标：工业园区污水收集处理设施进一步完善。</w:t>
      </w:r>
    </w:p>
    <w:p w14:paraId="2F0EBEE0">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整改时限：2027年年底前</w:t>
      </w:r>
    </w:p>
    <w:p w14:paraId="05F81D99">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w:t>
      </w:r>
    </w:p>
    <w:p w14:paraId="706AEE1D">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针对广东阳东经济开发区污水管网仍存在缺口约62公里问题，通过实施道路项目，完善雨污水管道配套工程。针对广东阳东经济开发区未落实规划环评审查要求建设污水处理厂尾水专管的问题，加快推进污水处理厂尾水专管建设，完成管道建设任务。(责任单位：阳东区党委和政府；完成期限：2026年年底前)</w:t>
      </w:r>
    </w:p>
    <w:p w14:paraId="54733983">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2025年年底前完成阳西县新墟产业园配套污水处理厂和尾水专管建设并投入使用；2027年年底前完成阳江阳西产业园区污水处理厂尾水专管建设并投入使用。(责任单位：阳西县党委和政府；完成期限：2027年年底前)</w:t>
      </w:r>
    </w:p>
    <w:p w14:paraId="1FC4EFA5">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三)2025年3月完成排查污水管网溢点并作出补漏，同时妥善处理河涌黑臭问题，2025年6月底前完成整改；2025年年底前完成阳江阳春产业园区产业集聚地马水片区污水处理厂验收并投入使用，污水管总长约4558米；2026年完成阳江阳春产业园区产业集聚地潭水片区污水处理厂建设并投入使用，污水管总长约7500米。(责任单位：阳春市党委和政府；完成期限：2026年年底前)</w:t>
      </w:r>
    </w:p>
    <w:p w14:paraId="0D1BFA6C">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二十三、部分工业园区环境风险防范体系不健全，督察发现，阳江阳春高新技术产业开发区、广东阳东经济开发区、江城银岭科技产业园仍未按照要求编制突发环境事件应急预案、未建立健全企业、工业园、区域三级环境风险防范与应急体系。</w:t>
      </w:r>
    </w:p>
    <w:p w14:paraId="447529BE">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责任单位：江城区、阳东区、阳春市党委和政府</w:t>
      </w:r>
    </w:p>
    <w:p w14:paraId="15EB9026">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督导单位：市生态环境局、市应急管理局、市科技局、市商务局</w:t>
      </w:r>
    </w:p>
    <w:p w14:paraId="40ECBDC8">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整改目标：建立健全企业、工业园、区域三级环境风险防范与应急体系。</w:t>
      </w:r>
    </w:p>
    <w:p w14:paraId="1E883033">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整改时限：立行立改，2026年年底前</w:t>
      </w:r>
    </w:p>
    <w:p w14:paraId="2CB27A4E">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w:t>
      </w:r>
    </w:p>
    <w:p w14:paraId="7972A416">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(一)按照要求编制阳江阳春高新技术产业开发区、广东阳东经济开发区、江城银岭科技产业园突发环境事件应急预案。(责任单位：江城区、阳东区、阳春市党委和政府；完成期限：2025年年底前)</w:t>
      </w:r>
    </w:p>
    <w:p w14:paraId="4DEDD8DC">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建立健全企业、工业园、区域三级环境风险防范与应急体系，确保人员、信息畅通，物资共享，协同妥善处置突发事件。强化培训与演练，提高应对突发环境事件的能力，定期对园区应急预案进行评估及修订，完善应急物资配备，确保园区发生突发环境事件时可及时调配。(责任单位：江城区、阳东区、阳春市党委和政府；完成期限：立行立改，2026年年底前)</w:t>
      </w:r>
    </w:p>
    <w:p w14:paraId="27BC01A3">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二十四、海洋生态系统保护修复工作不够有力。无人岛屿保护要求未落实，阳西县上洋镇大树岛为尚未开发的无人岛屿，属于县级自然保护区，督察发现，阳西县对无人岛屿失于监管，游客擅自登岛游玩现象时有发生，岛上存在多处建筑物，对海滩、树林及周边环境造成损害。</w:t>
      </w:r>
    </w:p>
    <w:p w14:paraId="0228ECE6">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责任单位：阳西县党委和政府</w:t>
      </w:r>
    </w:p>
    <w:p w14:paraId="5CB9544D">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督导单位：市林业局、市自然资源局、市生态环境局，市海洋综合执法支队</w:t>
      </w:r>
    </w:p>
    <w:p w14:paraId="0E61956A">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整改目标：加强对阳西县上洋镇大树岛的监管，严防游客擅自登岛，做好岛屿保护工作。</w:t>
      </w:r>
    </w:p>
    <w:p w14:paraId="53FF0961">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整改时限：立行立改，2025年年底前</w:t>
      </w:r>
    </w:p>
    <w:p w14:paraId="3434964B">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w:t>
      </w:r>
    </w:p>
    <w:p w14:paraId="66BB59DA">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阳西县上洋镇大树岛上存在多处建筑物是上世纪90年代就建好的建筑物，属于《海岛保护法》颁布之前就有的历史遗留的产物，按相关规定，做好原状保持工作。(责任单位：阳西县党委和政府；完成期限：立行立改，持续整改)</w:t>
      </w:r>
    </w:p>
    <w:p w14:paraId="394D5A95">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安排工作人员24小时值班值守；加强海岛巡查，一旦发现渔船搭客情况，立即扣船查处，发现游客擅自登岛的，依法依规进行劝离；加强岛内海滩和林地的保护与管理。(责任单位：阳西县党委和政府；完成期限：立行立改，2025年年底前)</w:t>
      </w:r>
    </w:p>
    <w:p w14:paraId="490F57B9">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二十五、红树林营造工作推进缓慢，根据省有关要求，阳江市应于2024年底前完成在现状红树林范围外营造红树林不少于950公顷的任务，至督察进驻时仅完成18.22%；阳江港大桥建设项目未落实海洋环评批复提出的红树林异地补种要求。</w:t>
      </w:r>
    </w:p>
    <w:p w14:paraId="1CD005A8">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责任单位：市自然资源局、市林业局牵头，各沿海县(区)党(工)委和政府(管委会)配合</w:t>
      </w:r>
    </w:p>
    <w:p w14:paraId="1BC395E4">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整改目标：完成红树林营造不少于950公顷的任务；落实好阳江港大桥建设项目海洋环评批复提出的红树林异地补种要求，做好红树林长期保护工作。</w:t>
      </w:r>
    </w:p>
    <w:p w14:paraId="20085829">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整改时限：2025年年底前</w:t>
      </w:r>
    </w:p>
    <w:p w14:paraId="52644705">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w:t>
      </w:r>
    </w:p>
    <w:p w14:paraId="0A68FFF0">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(一)2025年6月底前完成种植红树林300公顷，2025年年底前完成种植红树林任务。〔责任单位：市自然资源局、市林业局，各沿海县(区)党(工)委和政府(管委会)；完成期限：2025年年底前〕</w:t>
      </w:r>
    </w:p>
    <w:p w14:paraId="3D23D85F">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(二)落实好阳江港大桥建设项目海洋环评批复提出的红树林异地补种要求。〔责任单位：阳江滨海新区(阳江高新区)党工委和管委会；完成期限：2025年年底前〕</w:t>
      </w:r>
    </w:p>
    <w:p w14:paraId="72CA04A0">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三)组织做好动态监测阳东寿长河、海陵红树林修复后续管理情况工作；建立红树林监管保护机制；积极配合完成红树林营造任务。〔责任单位：市林业局、市自然资源局，各沿海县(区)党(工)委和政府(管委会)；完成期限：2025年年底前〕</w:t>
      </w:r>
    </w:p>
    <w:p w14:paraId="5D417C00">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二十六、传统五金刀剪产业环境保护水平不够高。阳江五金刀剪产业链条完整、品类丰富，是省级五金刀剪特色产业集群，全产业链产值超550亿元，督察发现，阳江市协同推进产业高质量发展和生态环境高水平保护力度仍有不足。部分企业环评手续不完善，督察发现，江城区龙湾聚集区、阳东区红丰镇及广东阳东经济开发区，仍约有150家五金刀剪企业未依法办理环评手续，约占3个区域五金刀剪企业总数30%。</w:t>
      </w:r>
    </w:p>
    <w:p w14:paraId="14208249">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责任单位：江城区、阳东区党委和政府</w:t>
      </w:r>
    </w:p>
    <w:p w14:paraId="40BB39CF">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督导单位：市生态环境局</w:t>
      </w:r>
    </w:p>
    <w:p w14:paraId="7A4CD093">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整改目标：加强园区环境监管，完善企业环评手续。</w:t>
      </w:r>
    </w:p>
    <w:p w14:paraId="7AEBA59A">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整改时限：2025年年底前，长期坚持</w:t>
      </w:r>
    </w:p>
    <w:p w14:paraId="494E7EDA">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w:t>
      </w:r>
    </w:p>
    <w:p w14:paraId="5FBB81BD">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开展执法排查，确定未办理环评手续企业名单，对名单中的企业逐一上门督促企业整改，完善企业环评手续。对逾期仍未办理环评手续的企业依法立案查处，严厉打击环境违法行为。(责任单位：江城区、阳东区党委和政府；完成期限：2025年年底前)</w:t>
      </w:r>
    </w:p>
    <w:p w14:paraId="1554EDB9">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做好江城区龙湾聚集区、阳东区红丰镇及广东阳东经济开发区相关企业环评情况的定期调度工作，加大监管力度，督促江城区、阳东区梳理园区内五金刀剪项目清单，制定整改方案，督促园区内相关企业加紧报批项目环评文件，确保按时完成整改任务。(责任单位：市生态环境局，江城区、阳东区党委和政府；完成期限：2025年年底前)</w:t>
      </w:r>
    </w:p>
    <w:p w14:paraId="35A715FB">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二十七、部分企业环保措施落实不到位，抽查阳东区33家五金刀剪企业中，涉危废企业普遍未编制突发环境事件应急预案、部分企业未设置危废暂存设施、部分紧邻居民区五金刀剪企业废气收集处理不到位，群众反映较强烈。</w:t>
      </w:r>
    </w:p>
    <w:p w14:paraId="66AF41CC">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责任单位：阳东区党委和政府</w:t>
      </w:r>
    </w:p>
    <w:p w14:paraId="0472B066">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督导单位：市生态环境局</w:t>
      </w:r>
    </w:p>
    <w:p w14:paraId="0FCD0359">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整改目标：推动相关五金刀剪行业企业环保措施落实到位。</w:t>
      </w:r>
    </w:p>
    <w:p w14:paraId="62465F71">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整改时限：2026年6月底前，长期坚持</w:t>
      </w:r>
    </w:p>
    <w:p w14:paraId="584ED856">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w:t>
      </w:r>
    </w:p>
    <w:p w14:paraId="247AB34D">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(一)完成阳东区33家五金刀剪企业中涉危废企业突发环境事件应急预案编制工作；完善企业危废暂存设施与废气收集处理措施，确保正常运行。(责任单位：阳东区党委和政府；完成期限：2025年年底前)</w:t>
      </w:r>
    </w:p>
    <w:p w14:paraId="773A053F">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指导、监督阳东区开展执法排查，确定环保措施落实不到位的企业名单，对包括督察指出的33家五金刀剪企业在内的环保措施落实不到位的企业，逐一上门督促企业整改，压实企业的环保主体责任，明确整改期限和工作要求；对逾期未完成整改的企业依法立案查处，严厉打击环境违法行为。(责任单位：市生态环境局，阳东区党委和政府；完成期限：2026年6月底前，长期坚持)</w:t>
      </w:r>
    </w:p>
    <w:p w14:paraId="332B45D8">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三)坚持举一反三，督促各县(市、区)落实属地责任，对辖区五金刀剪企业开展全面检查，推动辖区内企业环保措施落实到位。〔责任单位：市生态环境局，各县(市、区)党(工)委和政府(管委会)；完成期限：2026年6月底前，长期坚持〕</w:t>
      </w:r>
    </w:p>
    <w:p w14:paraId="781FC3FF">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二十八、部分重点督查整改任务完成不到位。部分中央环保督察整改事项未达预期目标。第二轮中央环保督察涉及阳江市21项整改任务，阳江市自报已完成11项，其余达到时序进度，督察发现，阳江市仍有5项整改措施落实不够有力、推进不达预期。全市海水养殖尾水治理任务进展滞后，该任务应于2023年年底前完成，至督察进驻时仅完成87.26%，且部分已建成尾水治理设施未正常运行，仅阳西县不能正常运行的就有144户6267.44亩，约占该县总数46%。</w:t>
      </w:r>
    </w:p>
    <w:p w14:paraId="0BA8A995">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责任单位：市农业农村局、市自然资源局、市生态环境局、市水务局，各沿海县(区)党(工)委和政府(管委会)</w:t>
      </w:r>
    </w:p>
    <w:p w14:paraId="7087907E">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整改目标：全面完成全市海水养殖尾水治理工作。</w:t>
      </w:r>
    </w:p>
    <w:p w14:paraId="6FFEE8AF">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整改时限：2025年年底前</w:t>
      </w:r>
    </w:p>
    <w:p w14:paraId="030D52F0">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w:t>
      </w:r>
    </w:p>
    <w:p w14:paraId="3DDF0903">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指导养殖户做好尾水治理设施的建设和运行维护，推广生态养殖模式。落实属地管理责任，对辖区内未完成的整改工作任务，2025年3月底前完成调查摸底工作，2025年年底前完成海水养殖尾水治理工作任务。〔责任单位：市农业农村局，各沿海县(区)党(工)委和政府(管委会)；完成期限：2025年年底前〕</w:t>
      </w:r>
    </w:p>
    <w:p w14:paraId="6EDAFF2B">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加强对养殖尾水排放的监管执法，加大对超标排放行为的查处力度；推动完成海域使用权证的发放；做好养殖项目违规抽取地下水的监管。〔责任单位：市生态环境局、市自然资源局、市水务局，各沿海县(区)党(工)委和政府(管委会)；完成期限：2025年年底前〕</w:t>
      </w:r>
    </w:p>
    <w:p w14:paraId="59E23B94">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二十九、生活垃圾填埋场渗滤液积存量仍然较大，阳江市应于2023年年底前降低垃圾渗滤液积存量，至督察进驻时，江城区奕垌生活垃圾填埋场积存渗滤液仍维持约5万吨高位，长期接近安全警戒线。</w:t>
      </w:r>
    </w:p>
    <w:p w14:paraId="4FF18784">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责任单位：市城管综合执法局，江城区、阳东区、阳春市、阳西县党委和政府</w:t>
      </w:r>
    </w:p>
    <w:p w14:paraId="09F6250E">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整改目标：强化全市生活垃圾填埋场运营管理，确保渗滤液处理设施稳定生产，加快积存垃圾渗滤液处理，保持场内渗滤液调节池低位运行。</w:t>
      </w:r>
    </w:p>
    <w:p w14:paraId="372E1E61">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整改时限：2025年6月底前，长期坚持</w:t>
      </w:r>
    </w:p>
    <w:p w14:paraId="38748814">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w:t>
      </w:r>
    </w:p>
    <w:p w14:paraId="3AC72E12">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确保市奕垌生活垃圾综合处理场渗滤液处理设施稳定生产，逐步提升产能，场内渗滤液调节池中渗滤液积存量逐步降低至2.7万吨以下。(责任单位：市城管综合执法局，江城区党委和政府；完成期限：2025年6月底前)</w:t>
      </w:r>
    </w:p>
    <w:p w14:paraId="24C6CBA4">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加强阳东区、阳春市、阳西县生活垃圾填埋场运营管理，维护场内堆体覆膜完好，做好雨污分流，渗滤液处理设备稳定生产，保持堆体底部导排阀门常开，确保场内渗滤液调节池低位运行和堆体渗滤液液位稳定下降。(责任单位：市城管综合执法局，阳东区、阳春市、阳西县党委和政府；完成期限：2025年6月底前，长期坚持)</w:t>
      </w:r>
    </w:p>
    <w:p w14:paraId="082B8CFD">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三十、新增城市污水处理设施推进缓慢，城南污水处理厂(三期)和中洲岛污水处理厂(二期)应于2025年底前建成投运，至督察进驻时仍未完成前期手续，如期完成难度大。</w:t>
      </w:r>
    </w:p>
    <w:p w14:paraId="46F6C282">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责任单位：市城管综合执法局、市住房城乡建设局，江城区党委和政府</w:t>
      </w:r>
    </w:p>
    <w:p w14:paraId="6BE4A631">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整改目标：完成中洲岛污水处理厂(二期)、城南污水处理厂(三期)建设并投入运营。</w:t>
      </w:r>
    </w:p>
    <w:p w14:paraId="7F8D88CA">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整改时限：2025年年底前</w:t>
      </w:r>
    </w:p>
    <w:p w14:paraId="1CB2083C">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w:t>
      </w:r>
    </w:p>
    <w:p w14:paraId="1518F743">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持续加快推进中洲岛污水处理厂(二期)施工建设，采取措施保障建设资金投入，统筹做好中洲岛污水处理厂(二期)场地、基础、主体结构、设备安装等施工工作，千方百计加快施工进度。2025年9月底前完成运营方招标，2025年年底完成主体工程建设并试运行。(责任单位：市城管综合执法局、市住房城乡建设局，江城区党委和政府；完成期限：2025年年底前)</w:t>
      </w:r>
    </w:p>
    <w:p w14:paraId="049C7E9B">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2025年5月底前完成市区污水处理及排水排污管网改造第一标段〔含城南污水处理厂(三期)建设工程〕工程总承包招标工作，优化项目实施方案，采取措施保障建设资金投入，强化施工前准备工作无缝对接，统筹做好城南污水处理厂(三期)场地、基础、主体结构、设备安装等施工工作，千方百计加快施工进度。2025年9月底前完成运营方招标，2025年年底完成主体工程建设并试运行。(责任单位：市城管综合执法局、市住房城乡建设局，江城区党委和政府；完成期限：2025年年底前)</w:t>
      </w:r>
    </w:p>
    <w:p w14:paraId="42B517B1">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三十一、违规小水电站清理整改缓慢，阳江市33座列入退出清单小水电站应于2025年完成清退，督察发现，仍有约26座电站未退出。</w:t>
      </w:r>
    </w:p>
    <w:p w14:paraId="6EFA12BA">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责任单位：市水务局，阳春市党委和政府</w:t>
      </w:r>
    </w:p>
    <w:p w14:paraId="7BC7F4AC">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整改目标：2025年年底前全面完成违规小水电站清理整改工作。</w:t>
      </w:r>
    </w:p>
    <w:p w14:paraId="1D156247">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整改时限：2025年年底前</w:t>
      </w:r>
    </w:p>
    <w:p w14:paraId="16FC0DF2">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2025年4月底前完成2024年已关停退出的13宗电站的生态修复工作。2025年6月底完成余下13宗电站的资产评估工作，2025年7月底完成退出补偿和关停工作，2025年10月底完成拆除与生态修复工作，2025年年底前完成验收销号工作。(责任单位：市水务局，阳春市党委和政府；完成期限：2025年年底前)</w:t>
      </w:r>
    </w:p>
    <w:p w14:paraId="38ABA04F">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三十二、农村污水处理设施运维管理仍不到位，督察发现，阳江市已建成4982座设施中，1625座全年运维资金为零；阳江市有关部门2023年9月审计发现，阳春市双滘镇黄竹村20个处理设施崩塌、损坏，不能正常运行，至督察进驻时仍未修复；江城区埠场镇那蓬村、雷山村，中洲街道潭塘村、华龙村，白沙街道白沙村等多个污水处理设施维护不到位、运行不正常。</w:t>
      </w:r>
    </w:p>
    <w:p w14:paraId="0BFB6C91">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责任单位：市农业农村局、市住房城乡建设局、市生态环境局牵头，各县(市、区)党(工)委和政府(管委会)配合</w:t>
      </w:r>
    </w:p>
    <w:p w14:paraId="6B768AB3">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整改目标：加强农村生活污水处理设施运维管护，完成双滘镇等农村生活污水处理设施修复。</w:t>
      </w:r>
    </w:p>
    <w:p w14:paraId="66F511FB">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整改时限：2025年年底前</w:t>
      </w:r>
    </w:p>
    <w:p w14:paraId="2853E608">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w:t>
      </w:r>
    </w:p>
    <w:p w14:paraId="57C2D19C">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加大资金投入，积极统筹省农村生活污水专项资金、驻镇帮镇扶村资金、融资贷款等，完成100个以上老旧设施的改造提升或模式优化调整，积极探索供排一体化运维模式，发动村民积极参与农村生活污水处理设施管护，督促各县(市、区)对已建成设施全面落实运维资金，加强农村生活污水处理设施运维管护。〔责任单位：市农业农村局、市住房城乡建设局、市生态环境局，各县(市、区)党(工)委和政府(管委会)；完成期限：2025年年底前〕</w:t>
      </w:r>
    </w:p>
    <w:p w14:paraId="3292FE1D">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(二)加快修复阳春市双滘镇黄竹村损坏生活污水处理设施，因地制宜采取资源化利用等模式优化治理效果，确保设施正常运行。(责任单位：市农业农村局，阳春市党委和政府；完成期限：2025年年底前)</w:t>
      </w:r>
    </w:p>
    <w:p w14:paraId="0EE4F06D">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三)加强江城区埠场镇那蓬村、雷山村，中洲街道潭塘村、华龙村，白沙街道白沙村等污水处理设施的运营维护，结合每个村的实际，对运行不正常的污水处理设施进行改造提升或优化调整治理模式，确保设施正常运行。(责任单位：市农业农村局、市住房城乡建设局、市生态环境局，江城区党委和政府；完成期限：2025年年底前)</w:t>
      </w:r>
    </w:p>
    <w:p w14:paraId="75885AD3">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(四)市生态环境局加强成效监管，组织开展农村生活污水治理设施巡查工作。〔责任单位：市生态环境局，各县(市、区)党(工)委和政府(管委会)；完成期限：立行立改，长期坚持〕</w:t>
      </w:r>
    </w:p>
    <w:p w14:paraId="5FFD187F">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三十三、部分中央环保督察交办信访问题整改不够到位。第一轮中央环保督察、督察“回头看”及第二轮中央环保督察交办阳江市群众来电来信举报问题356件，阳江市自报已全部办结，督察发现，仍有一些问题整改不彻底。广东恒佳建材股份有限公司部分车间侵占阳江市区饮用水水源二级保护区问题整改推进缓慢，至督察进驻时仍有2164平方米储料仓未拆除，占比约20%。</w:t>
      </w:r>
    </w:p>
    <w:p w14:paraId="29B7E07E">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责任单位：江城区党委和政府</w:t>
      </w:r>
    </w:p>
    <w:p w14:paraId="669BDA09">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督导单位：市生态环境局、市水务局</w:t>
      </w:r>
    </w:p>
    <w:p w14:paraId="4FDB5E15">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整改目标：全面完成广东恒佳建材股份有限公司部分车间侵占阳江市区饮用水水源二级保护区问题整改。</w:t>
      </w:r>
    </w:p>
    <w:p w14:paraId="6BE497AF">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整改时限：2025年年底前</w:t>
      </w:r>
    </w:p>
    <w:p w14:paraId="249C03F6">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w:t>
      </w:r>
    </w:p>
    <w:p w14:paraId="531C248F">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(一)对位于饮用水水源二级保护区范围内未完成整改的部分车间进行拆除搬迁或停产搬迁生产设备，消除污染物产生。(责任单位：江城区党委和政府；完成期限：2025年年底前)</w:t>
      </w:r>
    </w:p>
    <w:p w14:paraId="2FD5AC6B">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(二)对拆除搬迁的空置地进行复绿和部分路面硬底化。(责任单位：江城区党委和政府；完成期限：2025年年底前)</w:t>
      </w:r>
    </w:p>
    <w:p w14:paraId="54E96CAD">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(三)督促企业加强管理，正常运转污染治理设施，确保饮用水水源二级保护区的环境安全。(责任单位：江城区党委和政府；完成期限：立行立改，长期坚持)</w:t>
      </w:r>
    </w:p>
    <w:p w14:paraId="02EEA6A1">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(四)加强日常巡查监管，严防企业在饮用水水源保护区范围环境违法作业。(责任单位：江城区党委和政府；完成期限：立行立改，长期坚持)</w:t>
      </w:r>
    </w:p>
    <w:p w14:paraId="11EAA1E7">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三十四、阳江市江城区冠雄渔船拆解厂等5家拆解企业长期违规占用河道，拆解污染仍未得到有效处理。</w:t>
      </w:r>
    </w:p>
    <w:p w14:paraId="028F2F7D">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责任单位：江城区党委和政府</w:t>
      </w:r>
    </w:p>
    <w:p w14:paraId="30880347">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督导单位：市水务局、市市场监管局、市农业农村局、市生态环境局、阳江供电局</w:t>
      </w:r>
    </w:p>
    <w:p w14:paraId="46F6AEFE">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整改目标：完成整改江城区冠雄渔船拆解厂等5家拆解企业违规占用河道问题。</w:t>
      </w:r>
    </w:p>
    <w:p w14:paraId="138F7372">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整改时限：2025年年底前</w:t>
      </w:r>
    </w:p>
    <w:p w14:paraId="4C3D9277">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w:t>
      </w:r>
    </w:p>
    <w:p w14:paraId="512DC203">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(一)合理安置，规范管理。会同市相关职能部门对渔船拆解企业规范监管，依法依规开展土地规划，合理安置。(责任单位：江城区党委和政府；完成期限：2025年年底前)</w:t>
      </w:r>
    </w:p>
    <w:p w14:paraId="3EC0DFA8">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依法采取责令停业、吊销资质或营业执照等措施。会同市场监管、船舶拆解行业主管部门对拆解厂违反相关法律法规的行为及其他有关部门提出的建议进行核查，依法采取责令停业、吊销拆解资质或营业执照等措施，确保拆解厂停业整改工作顺利完成。(责任单位：江城区党委和政府；完成期限：2025年年底前)</w:t>
      </w:r>
    </w:p>
    <w:p w14:paraId="27E4FC65">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(三)加大执法监管力度。对违法建筑进行执法处置，对违规占用河道问题进行处理，确保整改任务完成。(责任单位：江城区党委和政府；完成期限：2025年年底前)</w:t>
      </w:r>
    </w:p>
    <w:p w14:paraId="18BB838C">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(四)加强日常巡查工作。组织做好巡查记录等工作，加强与上级职能部门的协调联动，严厉打击非法排污行为，依法依规推动工作全面落实。(责任单位：江城区党委和政府；完成期限：2025年年底前)</w:t>
      </w:r>
    </w:p>
    <w:p w14:paraId="47BBC724">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三十五、海陵试验区闸坡镇“海上大排档”手续不齐但仍在海上经营，仍存在餐厨污水及厕所粪便未有效收集问题。</w:t>
      </w:r>
    </w:p>
    <w:p w14:paraId="5AFE656C">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责任单位：阳江滨海新区(阳江高新区)党工委和管委会</w:t>
      </w:r>
    </w:p>
    <w:p w14:paraId="02F03D98">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督导单位：市海洋综合执法支队、市市场监管局、市生态环境局</w:t>
      </w:r>
    </w:p>
    <w:p w14:paraId="5AFEB505">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整改目标：2025年年底前阳江滨海新区(阳江高新区)对闸坡镇手续不齐的“海上大排档”进行依法取缔。</w:t>
      </w:r>
    </w:p>
    <w:p w14:paraId="74EBE2B1">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整改时限：立行立改，2025年年底前</w:t>
      </w:r>
    </w:p>
    <w:p w14:paraId="0A543CB4">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w:t>
      </w:r>
    </w:p>
    <w:p w14:paraId="7A0C3996">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要求“海上大排档”经营单位办理完善相关手续后再开业经营，如在期限内不能办理完善相关手续，组织相关部门依法进行取缔。〔责任单位：阳江滨海新区(阳江高新区)党工委和管委会；完成期限：2025年年底前〕</w:t>
      </w:r>
    </w:p>
    <w:p w14:paraId="61C24849">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督促“海上大排档”经营单位建设厨房废水收集池，由企业委托相关人员将废水运输到旧澳湾垃圾中转站废水池，并通过管网排到闸坡污水处理厂进行处理；封闭“海上大排档”厕所，将厕所移上岸边，统一收集好厕所粪便进行处理。〔责任单位：阳江滨海新区(阳江高新区)党工委和管委会；完成期限：立行立改，2025年年底前〕</w:t>
      </w:r>
    </w:p>
    <w:p w14:paraId="5A3B4093">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三十六、江城区埠场镇电镀定点基地污水集中处理设施出水氨氮指标长期未能稳定达标，存在风险隐患。</w:t>
      </w:r>
    </w:p>
    <w:p w14:paraId="43AB5838">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责任单位：江城区党委和政府</w:t>
      </w:r>
    </w:p>
    <w:p w14:paraId="73617C39">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督导单位：市生态环境局</w:t>
      </w:r>
    </w:p>
    <w:p w14:paraId="26ACEA41">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整改目标：江城区埠场镇电镀定点基地污水集中处理设施出水氨氮指标稳定达标。</w:t>
      </w:r>
    </w:p>
    <w:p w14:paraId="5650064A">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整改时限：2025年年底前</w:t>
      </w:r>
    </w:p>
    <w:p w14:paraId="09BBF6ED">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w:t>
      </w:r>
    </w:p>
    <w:p w14:paraId="5CD3DB07">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(一)制定整改方案，责令园区污水处理厂积极采取相应管理和技术措施，确保达标排放。(责任单位：江城区党委和政府；完成期限：2025年年底前)</w:t>
      </w:r>
    </w:p>
    <w:p w14:paraId="4455FB84">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(二)职能监管部门对园区排污企业开展排查、梳理，按要求严格落实污染防治措施。(责任单位：江城区党委和政府；完成期限：2025年年底前)</w:t>
      </w:r>
    </w:p>
    <w:p w14:paraId="0826F158">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(三)要求企业严格落实电镀废水分类，再通过专管排向园区污水处理厂集中处理。(责任单位：江城区党委和政府；完成期限：2025年年底前)</w:t>
      </w:r>
    </w:p>
    <w:p w14:paraId="2A3A362F">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三十七、其他一些督查督办问题整改推进不力。森林资源遭破坏问题整改不够到位，国家林业和草原局广州专员办2023年重点督办阳春市9宗破坏森林资源案件，要求“查处到位、植被恢复到位、责任追究到位”，抽查发现，其中3宗未落实“三个到位”整改要求，仍存在复绿成活率低、水土流失较严重、违法占地堆放砂石、未按要求缴纳罚款等问题。</w:t>
      </w:r>
    </w:p>
    <w:p w14:paraId="379ADE38">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责任单位：阳春市党委和政府</w:t>
      </w:r>
    </w:p>
    <w:p w14:paraId="7A973AFF">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督导单位：市林业局</w:t>
      </w:r>
    </w:p>
    <w:p w14:paraId="10B021E9">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整改目标：按“三个到位”要求完成3宗破坏森林资源案件整改。</w:t>
      </w:r>
    </w:p>
    <w:p w14:paraId="6EBC5CA0">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整改时限：2025年年底前</w:t>
      </w:r>
    </w:p>
    <w:p w14:paraId="1D165F8E">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w:t>
      </w:r>
    </w:p>
    <w:p w14:paraId="0624AC15">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(一)完成该3宗案件的查处。对有关案件，待法院判决书作出后，及时按判决书要求做好该案的处理办结工作，确保案件查处到位。(责任单位：阳春市党委和政府；完成期限：2025年年底前)</w:t>
      </w:r>
    </w:p>
    <w:p w14:paraId="204A731A">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(二)加强与镇、相关责任单位沟通，督促、指导责任单位抓紧做好3宗案件的林地复绿工作。(责任单位：市林业局，阳春市党委和政府；完成期限：2025年年底前)</w:t>
      </w:r>
    </w:p>
    <w:p w14:paraId="66CFE360">
      <w:pPr>
        <w:adjustRightInd w:val="0"/>
        <w:spacing w:line="594" w:lineRule="exact"/>
        <w:ind w:firstLine="666" w:firstLineChars="196"/>
        <w:rPr>
          <w:rFonts w:hint="eastAsia" w:ascii="黑体" w:hAnsi="黑体" w:eastAsia="黑体" w:cs="Times New Roman"/>
          <w:kern w:val="32"/>
          <w:sz w:val="34"/>
          <w:szCs w:val="20"/>
        </w:rPr>
      </w:pPr>
      <w:r>
        <w:rPr>
          <w:rFonts w:hint="eastAsia" w:ascii="黑体" w:hAnsi="黑体" w:eastAsia="黑体" w:cs="Times New Roman"/>
          <w:kern w:val="32"/>
          <w:sz w:val="34"/>
          <w:szCs w:val="20"/>
        </w:rPr>
        <w:t>三十八、一些农村黑臭水体治理进展缓慢，被列为国家级农村黑臭水体的阳春市岗美镇生风河，应于2023年内完成整治，因工作推进严重滞后，已被上级部门多次督办，至督察进驻时水体黑臭现象仍未消除。</w:t>
      </w:r>
    </w:p>
    <w:p w14:paraId="021E81CF">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责任单位：阳春市党委和政府</w:t>
      </w:r>
    </w:p>
    <w:p w14:paraId="32D8B6C2">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督导单位：市生态环境局、市水务局、市农业农村局</w:t>
      </w:r>
    </w:p>
    <w:p w14:paraId="4F3A780B">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整改目标：完成阳春市生风河整治，消除黑臭现象。</w:t>
      </w:r>
    </w:p>
    <w:p w14:paraId="4B9314FD">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整改时限：2025年年底前，长期坚持</w:t>
      </w:r>
    </w:p>
    <w:p w14:paraId="7D77601C">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整改措施：</w:t>
      </w:r>
    </w:p>
    <w:p w14:paraId="2CE671A1">
      <w:pPr>
        <w:adjustRightInd w:val="0"/>
        <w:spacing w:line="594" w:lineRule="exact"/>
        <w:ind w:firstLine="666" w:firstLineChars="196"/>
        <w:rPr>
          <w:rFonts w:hint="eastAsia" w:ascii="宋体" w:hAnsi="宋体" w:eastAsia="方正仿宋简体" w:cs="Times New Roman"/>
          <w:kern w:val="32"/>
          <w:sz w:val="34"/>
          <w:szCs w:val="20"/>
        </w:rPr>
      </w:pPr>
      <w:r>
        <w:rPr>
          <w:rFonts w:hint="eastAsia" w:ascii="宋体" w:hAnsi="宋体" w:eastAsia="方正仿宋简体" w:cs="Times New Roman"/>
          <w:kern w:val="32"/>
          <w:sz w:val="34"/>
          <w:szCs w:val="20"/>
        </w:rPr>
        <w:t>(一)落实农村黑臭水体治理“地市统筹、县为主体、乡镇实施”分级责任机制，督促阳春市落实控源截污、清淤疏浚等措施，加快推进岗美镇美丽圩镇建设项目二期—岗美镇生风河整治工程、加强阳春市生风河周边畜禽养殖场(户)和水产养殖场(户)污染防治监管、整改运行不正常的农村生活污水治理设施等，确保水质达标，落实水体治理评估。(责任单位：市生态环境局、市水务局、市农业农村局，阳春市党委和政府；完成期限：2025年年底前，长期坚持)</w:t>
      </w:r>
    </w:p>
    <w:p w14:paraId="03574AE4">
      <w:pPr>
        <w:adjustRightInd w:val="0"/>
        <w:spacing w:line="594" w:lineRule="exact"/>
        <w:ind w:firstLine="666" w:firstLineChars="196"/>
        <w:rPr>
          <w:rFonts w:ascii="宋体" w:hAnsi="宋体" w:eastAsia="方正仿宋简体" w:cs="Times New Roman"/>
          <w:kern w:val="32"/>
          <w:sz w:val="34"/>
          <w:szCs w:val="20"/>
        </w:rPr>
      </w:pPr>
      <w:r>
        <w:rPr>
          <w:rFonts w:hint="eastAsia" w:ascii="宋体" w:hAnsi="宋体" w:eastAsia="方正仿宋简体" w:cs="Times New Roman"/>
          <w:kern w:val="32"/>
          <w:sz w:val="34"/>
          <w:szCs w:val="20"/>
        </w:rPr>
        <w:t>(二)健全农村水体长效管护机制，加强河道日常巡查工作，组织开展农村黑臭水体常态化摸排调研，定期对阳春市生风河开展水质监测，及时发现、处理水质问题，避免水体出现“返黑返臭”现象。(责任单位：市生态环境局、市水务局、市农业农村局，阳春市党委和政府；完成期限：立行立改，长期坚持)</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Book Antiqua">
    <w:panose1 w:val="02040602050305030304"/>
    <w:charset w:val="00"/>
    <w:family w:val="auto"/>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docPartObj>
        <w:docPartGallery w:val="AutoText"/>
      </w:docPartObj>
    </w:sdtPr>
    <w:sdtContent>
      <w:p w14:paraId="00187ACC">
        <w:pPr>
          <w:pStyle w:val="2"/>
          <w:jc w:val="center"/>
        </w:pPr>
        <w:r>
          <w:fldChar w:fldCharType="begin"/>
        </w:r>
        <w:r>
          <w:instrText xml:space="preserve">PAGE   \* MERGEFORMAT</w:instrText>
        </w:r>
        <w:r>
          <w:fldChar w:fldCharType="separate"/>
        </w:r>
        <w:r>
          <w:rPr>
            <w:lang w:val="zh-CN"/>
          </w:rPr>
          <w:t>8</w:t>
        </w:r>
        <w:r>
          <w:fldChar w:fldCharType="end"/>
        </w:r>
      </w:p>
    </w:sdtContent>
  </w:sdt>
  <w:p w14:paraId="26853AA3">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75AE"/>
    <w:rsid w:val="00224492"/>
    <w:rsid w:val="00AD75AE"/>
    <w:rsid w:val="00CE5350"/>
    <w:rsid w:val="77558B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60</Pages>
  <Words>14179</Words>
  <Characters>15315</Characters>
  <Lines>638</Lines>
  <Paragraphs>167</Paragraphs>
  <TotalTime>10</TotalTime>
  <ScaleCrop>false</ScaleCrop>
  <LinksUpToDate>false</LinksUpToDate>
  <CharactersWithSpaces>29327</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2025-08-22T15:34:00Z</dcterms:created>
  <dc:creator>yimike3tor</dc:creator>
  <cp:lastModifiedBy>蔡扬名</cp:lastModifiedBy>
  <dcterms:modified xsi:type="dcterms:W3CDTF">2025-08-22T16:15:56Z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93D68DAAB09D06883C27A86842857759_42</vt:lpwstr>
  </property>
</Properties>
</file>