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both"/>
        <w:textAlignment w:val="auto"/>
        <w:rPr>
          <w:rFonts w:hint="eastAsia" w:ascii="黑体" w:hAnsi="黑体" w:eastAsia="黑体" w:cs="黑体"/>
          <w:sz w:val="34"/>
          <w:szCs w:val="32"/>
          <w:lang w:val="en-US" w:eastAsia="zh-CN"/>
        </w:rPr>
      </w:pPr>
      <w:r>
        <w:rPr>
          <w:rFonts w:hint="eastAsia" w:ascii="黑体" w:hAnsi="黑体" w:eastAsia="黑体" w:cs="黑体"/>
          <w:sz w:val="34"/>
          <w:szCs w:val="32"/>
          <w:lang w:val="en-US" w:eastAsia="zh-CN"/>
        </w:rPr>
        <w:t>附件1</w:t>
      </w:r>
    </w:p>
    <w:p>
      <w:pPr>
        <w:keepNext w:val="0"/>
        <w:keepLines w:val="0"/>
        <w:pageBreakBefore w:val="0"/>
        <w:widowControl w:val="0"/>
        <w:kinsoku/>
        <w:wordWrap/>
        <w:overflowPunct/>
        <w:topLinePunct w:val="0"/>
        <w:autoSpaceDE/>
        <w:autoSpaceDN/>
        <w:bidi w:val="0"/>
        <w:adjustRightInd/>
        <w:snapToGrid/>
        <w:jc w:val="both"/>
        <w:textAlignment w:val="auto"/>
        <w:rPr>
          <w:rFonts w:hint="eastAsia" w:ascii="仿宋" w:hAnsi="仿宋" w:cs="仿宋"/>
          <w:sz w:val="34"/>
          <w:szCs w:val="32"/>
          <w:lang w:val="en-US" w:eastAsia="zh-CN"/>
        </w:rPr>
      </w:pPr>
    </w:p>
    <w:p>
      <w:pPr>
        <w:keepNext w:val="0"/>
        <w:keepLines w:val="0"/>
        <w:pageBreakBefore w:val="0"/>
        <w:widowControl w:val="0"/>
        <w:kinsoku/>
        <w:wordWrap w:val="0"/>
        <w:overflowPunct/>
        <w:topLinePunct w:val="0"/>
        <w:autoSpaceDE/>
        <w:autoSpaceDN/>
        <w:bidi w:val="0"/>
        <w:adjustRightInd/>
        <w:snapToGrid/>
        <w:spacing w:after="0" w:afterLines="0" w:line="592" w:lineRule="exact"/>
        <w:ind w:left="0"/>
        <w:jc w:val="center"/>
        <w:textAlignment w:val="auto"/>
        <w:outlineLvl w:val="0"/>
        <w:rPr>
          <w:rFonts w:hint="eastAsia" w:ascii="方正小标宋简体" w:hAnsi="方正小标宋简体" w:eastAsia="方正小标宋简体" w:cs="方正小标宋简体"/>
          <w:b w:val="0"/>
          <w:bCs w:val="0"/>
          <w:spacing w:val="0"/>
          <w:sz w:val="21"/>
          <w:szCs w:val="21"/>
          <w:lang w:val="en-US" w:eastAsia="zh-CN"/>
        </w:rPr>
      </w:pPr>
      <w:r>
        <w:rPr>
          <w:rFonts w:hint="eastAsia" w:ascii="方正小标宋简体" w:hAnsi="方正小标宋简体" w:eastAsia="方正小标宋简体" w:cs="方正小标宋简体"/>
          <w:b w:val="0"/>
          <w:bCs w:val="0"/>
          <w:spacing w:val="0"/>
          <w:sz w:val="44"/>
          <w:szCs w:val="44"/>
          <w:lang w:val="en-US" w:eastAsia="zh-CN"/>
        </w:rPr>
        <w:t>数字化转型创新试验需求（第一批）</w:t>
      </w:r>
    </w:p>
    <w:tbl>
      <w:tblPr>
        <w:tblStyle w:val="7"/>
        <w:tblW w:w="511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7"/>
        <w:gridCol w:w="1569"/>
        <w:gridCol w:w="1569"/>
        <w:gridCol w:w="2489"/>
        <w:gridCol w:w="8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blHeader/>
        </w:trPr>
        <w:tc>
          <w:tcPr>
            <w:tcW w:w="298"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序号</w:t>
            </w:r>
          </w:p>
        </w:tc>
        <w:tc>
          <w:tcPr>
            <w:tcW w:w="515"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需求单位</w:t>
            </w:r>
          </w:p>
        </w:tc>
        <w:tc>
          <w:tcPr>
            <w:tcW w:w="515"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行业领域</w:t>
            </w:r>
          </w:p>
        </w:tc>
        <w:tc>
          <w:tcPr>
            <w:tcW w:w="817"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应用需求</w:t>
            </w:r>
          </w:p>
        </w:tc>
        <w:tc>
          <w:tcPr>
            <w:tcW w:w="2853"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内容描述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3" w:hRule="atLeast"/>
        </w:trPr>
        <w:tc>
          <w:tcPr>
            <w:tcW w:w="298" w:type="pct"/>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w:t>
            </w:r>
          </w:p>
        </w:tc>
        <w:tc>
          <w:tcPr>
            <w:tcW w:w="515" w:type="pct"/>
            <w:vMerge w:val="restart"/>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阳江市政务服务和数据管理局</w:t>
            </w:r>
          </w:p>
        </w:tc>
        <w:tc>
          <w:tcPr>
            <w:tcW w:w="515" w:type="pct"/>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数字政府</w:t>
            </w:r>
          </w:p>
        </w:tc>
        <w:tc>
          <w:tcPr>
            <w:tcW w:w="817"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本地化办公AI应用——文档中心办公AI</w:t>
            </w:r>
          </w:p>
        </w:tc>
        <w:tc>
          <w:tcPr>
            <w:tcW w:w="2853" w:type="pct"/>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黑体" w:hAnsi="黑体" w:eastAsia="黑体" w:cs="黑体"/>
                <w:b w:val="0"/>
                <w:bCs w:val="0"/>
                <w:sz w:val="28"/>
                <w:szCs w:val="28"/>
                <w:vertAlign w:val="baseline"/>
                <w:lang w:val="en-US" w:eastAsia="zh-CN"/>
              </w:rPr>
            </w:pPr>
            <w:r>
              <w:rPr>
                <w:rFonts w:hint="eastAsia" w:ascii="黑体" w:hAnsi="黑体" w:eastAsia="黑体" w:cs="黑体"/>
                <w:b w:val="0"/>
                <w:bCs w:val="0"/>
                <w:sz w:val="28"/>
                <w:szCs w:val="28"/>
                <w:vertAlign w:val="baseline"/>
                <w:lang w:val="en-US" w:eastAsia="zh-CN"/>
              </w:rPr>
              <w:t>一、智能公文起草与审校</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（一）业务痛点：公文撰写标准高、流程多，人工处理速度慢，易出现格式和内容错误。</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（二）应用目标：利用AI辅助起草、自动校对、智能核稿，大幅缩短公文处理周期，提升规范性与质量。</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黑体" w:hAnsi="黑体" w:eastAsia="黑体" w:cs="黑体"/>
                <w:b w:val="0"/>
                <w:bCs w:val="0"/>
                <w:sz w:val="28"/>
                <w:szCs w:val="28"/>
                <w:vertAlign w:val="baseline"/>
                <w:lang w:val="en-US" w:eastAsia="zh-CN"/>
              </w:rPr>
            </w:pPr>
            <w:r>
              <w:rPr>
                <w:rFonts w:hint="eastAsia" w:ascii="黑体" w:hAnsi="黑体" w:eastAsia="黑体" w:cs="黑体"/>
                <w:b w:val="0"/>
                <w:bCs w:val="0"/>
                <w:sz w:val="28"/>
                <w:szCs w:val="28"/>
                <w:vertAlign w:val="baseline"/>
                <w:lang w:val="en-US" w:eastAsia="zh-CN"/>
              </w:rPr>
              <w:t>二、全域智能文档库</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（一）业务痛点：单位知识资产分散，搜索不便，无法有效支撑决策和快速获取信息。</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（二）应用目标：构建企业级知识大脑，实现非结构化数据的统一管理、智能检索和知识关联，打破信息孤岛，赋能精准决策。</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仿宋" w:hAnsi="仿宋" w:eastAsia="仿宋" w:cs="仿宋"/>
                <w:b/>
                <w:bCs/>
                <w:sz w:val="28"/>
                <w:szCs w:val="28"/>
                <w:vertAlign w:val="baseline"/>
                <w:lang w:val="en-US" w:eastAsia="zh-CN"/>
              </w:rPr>
            </w:pPr>
            <w:r>
              <w:rPr>
                <w:rFonts w:hint="eastAsia" w:ascii="黑体" w:hAnsi="黑体" w:eastAsia="黑体" w:cs="黑体"/>
                <w:b w:val="0"/>
                <w:bCs w:val="0"/>
                <w:sz w:val="28"/>
                <w:szCs w:val="28"/>
                <w:vertAlign w:val="baseline"/>
                <w:lang w:val="en-US" w:eastAsia="zh-CN"/>
              </w:rPr>
              <w:t>三、AI-PPT生成助手</w:t>
            </w:r>
            <w:r>
              <w:rPr>
                <w:rFonts w:hint="eastAsia" w:ascii="仿宋" w:hAnsi="仿宋" w:eastAsia="仿宋" w:cs="仿宋"/>
                <w:b/>
                <w:bCs/>
                <w:sz w:val="28"/>
                <w:szCs w:val="28"/>
                <w:vertAlign w:val="baseline"/>
                <w:lang w:val="en-US" w:eastAsia="zh-CN"/>
              </w:rPr>
              <w:t>​</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（一）业务痛点：工作汇报、政策宣讲、学习会议等场景PPT制作需求大，创作过程繁琐、耗时费力。</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（二）应用目标：通过输入主题自动生成大纲、内容与版式，快速产出高质量演示文稿，将公职人员从重复劳动中解放出来。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 w:type="pct"/>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2</w:t>
            </w:r>
          </w:p>
        </w:tc>
        <w:tc>
          <w:tcPr>
            <w:tcW w:w="515" w:type="pct"/>
            <w:vMerge w:val="continue"/>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仿宋" w:hAnsi="仿宋" w:eastAsia="仿宋" w:cs="仿宋"/>
                <w:sz w:val="28"/>
                <w:szCs w:val="28"/>
                <w:vertAlign w:val="baseline"/>
                <w:lang w:val="en-US" w:eastAsia="zh-CN"/>
              </w:rPr>
            </w:pPr>
          </w:p>
        </w:tc>
        <w:tc>
          <w:tcPr>
            <w:tcW w:w="515" w:type="pct"/>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仿宋" w:hAnsi="仿宋" w:eastAsia="仿宋" w:cs="仿宋"/>
                <w:b w:val="0"/>
                <w:bCs w:val="0"/>
                <w:spacing w:val="0"/>
                <w:kern w:val="2"/>
                <w:sz w:val="28"/>
                <w:szCs w:val="28"/>
                <w:vertAlign w:val="baseline"/>
                <w:lang w:val="en-US" w:eastAsia="zh-CN" w:bidi="ar-SA"/>
              </w:rPr>
            </w:pPr>
            <w:r>
              <w:rPr>
                <w:rFonts w:hint="eastAsia" w:ascii="仿宋" w:hAnsi="仿宋" w:eastAsia="仿宋" w:cs="仿宋"/>
                <w:sz w:val="28"/>
                <w:szCs w:val="28"/>
                <w:vertAlign w:val="baseline"/>
                <w:lang w:val="en-US" w:eastAsia="zh-CN"/>
              </w:rPr>
              <w:t>数字经济</w:t>
            </w:r>
          </w:p>
        </w:tc>
        <w:tc>
          <w:tcPr>
            <w:tcW w:w="817" w:type="pct"/>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仿宋" w:hAnsi="仿宋" w:eastAsia="仿宋" w:cs="仿宋"/>
                <w:b w:val="0"/>
                <w:bCs w:val="0"/>
                <w:spacing w:val="0"/>
                <w:kern w:val="2"/>
                <w:sz w:val="28"/>
                <w:szCs w:val="28"/>
                <w:vertAlign w:val="baseline"/>
                <w:lang w:val="en-US" w:eastAsia="zh-CN" w:bidi="ar-SA"/>
              </w:rPr>
            </w:pPr>
            <w:r>
              <w:rPr>
                <w:rFonts w:hint="eastAsia" w:ascii="仿宋" w:hAnsi="仿宋" w:eastAsia="仿宋" w:cs="仿宋"/>
                <w:b w:val="0"/>
                <w:bCs w:val="0"/>
                <w:spacing w:val="0"/>
                <w:sz w:val="28"/>
                <w:szCs w:val="28"/>
                <w:vertAlign w:val="baseline"/>
                <w:lang w:val="en-US" w:eastAsia="zh-CN"/>
              </w:rPr>
              <w:t>建设数据流通技术和制度,支撑公共数据资源开发利用，助力构建数据要素市场化体系。</w:t>
            </w:r>
          </w:p>
        </w:tc>
        <w:tc>
          <w:tcPr>
            <w:tcW w:w="2853" w:type="pct"/>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业务痛点：目前我市依托省数据资源“一网共享”平台汇聚共享公共数据，具备公共数据基本的供给能力，但公共数据流通方面缺乏健全的基础制度保障以及安全的技术平台支撑，未能有效支撑数据要素发展。</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仿宋" w:hAnsi="仿宋" w:eastAsia="仿宋" w:cs="仿宋"/>
                <w:kern w:val="2"/>
                <w:sz w:val="28"/>
                <w:szCs w:val="28"/>
                <w:vertAlign w:val="baseline"/>
                <w:lang w:val="en-US" w:eastAsia="zh-CN" w:bidi="ar-SA"/>
              </w:rPr>
            </w:pPr>
            <w:r>
              <w:rPr>
                <w:rFonts w:hint="eastAsia" w:ascii="仿宋" w:hAnsi="仿宋" w:eastAsia="仿宋" w:cs="仿宋"/>
                <w:sz w:val="28"/>
                <w:szCs w:val="28"/>
                <w:vertAlign w:val="baseline"/>
                <w:lang w:val="en-US" w:eastAsia="zh-CN"/>
              </w:rPr>
              <w:t>应用目标：按照“政府引导、市场运营”模式，建立健全数据基础制度，深化数据共享共用，提升公共数据供给技术能力，建设公共数据运营加工平台，保障数据“供得出、流得动、保安全”，构建以“一基地两中心”为载体，以实现公共数据价值变现为目标的全市一体化数据要素创新发展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298" w:type="pct"/>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3</w:t>
            </w:r>
          </w:p>
        </w:tc>
        <w:tc>
          <w:tcPr>
            <w:tcW w:w="515" w:type="pct"/>
            <w:vMerge w:val="continue"/>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仿宋" w:hAnsi="仿宋" w:eastAsia="仿宋" w:cs="仿宋"/>
                <w:sz w:val="28"/>
                <w:szCs w:val="28"/>
                <w:vertAlign w:val="baseline"/>
                <w:lang w:val="en-US" w:eastAsia="zh-CN"/>
              </w:rPr>
            </w:pPr>
          </w:p>
        </w:tc>
        <w:tc>
          <w:tcPr>
            <w:tcW w:w="515" w:type="pct"/>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仿宋" w:hAnsi="仿宋" w:eastAsia="仿宋" w:cs="仿宋"/>
                <w:kern w:val="2"/>
                <w:sz w:val="28"/>
                <w:szCs w:val="28"/>
                <w:vertAlign w:val="baseline"/>
                <w:lang w:val="en-US" w:eastAsia="zh-CN" w:bidi="ar-SA"/>
              </w:rPr>
            </w:pPr>
            <w:r>
              <w:rPr>
                <w:rFonts w:hint="eastAsia" w:ascii="仿宋" w:hAnsi="仿宋" w:eastAsia="仿宋" w:cs="仿宋"/>
                <w:sz w:val="28"/>
                <w:szCs w:val="28"/>
                <w:vertAlign w:val="baseline"/>
                <w:lang w:val="en-US" w:eastAsia="zh-CN"/>
              </w:rPr>
              <w:t>数字经济</w:t>
            </w:r>
          </w:p>
        </w:tc>
        <w:tc>
          <w:tcPr>
            <w:tcW w:w="817" w:type="pct"/>
            <w:vAlign w:val="center"/>
          </w:tcPr>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 w:hAnsi="仿宋" w:eastAsia="仿宋" w:cs="仿宋"/>
                <w:kern w:val="2"/>
                <w:sz w:val="28"/>
                <w:szCs w:val="28"/>
                <w:vertAlign w:val="baseline"/>
                <w:lang w:val="en-US" w:eastAsia="zh-CN" w:bidi="ar-SA"/>
              </w:rPr>
            </w:pPr>
            <w:r>
              <w:rPr>
                <w:rFonts w:hint="eastAsia" w:ascii="仿宋" w:hAnsi="仿宋" w:eastAsia="仿宋" w:cs="仿宋"/>
                <w:sz w:val="28"/>
                <w:szCs w:val="28"/>
                <w:vertAlign w:val="baseline"/>
                <w:lang w:val="en-US" w:eastAsia="zh-CN"/>
              </w:rPr>
              <w:t>通过技术融合与数据共享，实现海洋大数据创新应用，为海洋产业高质量发展提供核心驱动力。</w:t>
            </w:r>
          </w:p>
        </w:tc>
        <w:tc>
          <w:tcPr>
            <w:tcW w:w="2853" w:type="pct"/>
            <w:vAlign w:val="center"/>
          </w:tcPr>
          <w:p>
            <w:pPr>
              <w:keepNext w:val="0"/>
              <w:keepLines w:val="0"/>
              <w:pageBreakBefore w:val="0"/>
              <w:widowControl w:val="0"/>
              <w:kinsoku/>
              <w:wordWrap w:val="0"/>
              <w:overflowPunct/>
              <w:topLinePunct w:val="0"/>
              <w:autoSpaceDE/>
              <w:autoSpaceDN/>
              <w:bidi w:val="0"/>
              <w:adjustRightInd/>
              <w:snapToGrid w:val="0"/>
              <w:spacing w:line="400" w:lineRule="exact"/>
              <w:jc w:val="left"/>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以建设阳江海洋大数据中心为抓手，阳江“通导遥”刘经南院士工作站为科技支撑，构建海洋数据汇聚管理机制、海洋数据开发利用技术和海洋数据授权运营等海洋数据一体化赋能体系，支撑海洋行业可信数据空间建设，发挥数据要素赋能产业发展作用，实现海洋数据价值变现：</w:t>
            </w:r>
          </w:p>
          <w:p>
            <w:pPr>
              <w:keepNext w:val="0"/>
              <w:keepLines w:val="0"/>
              <w:pageBreakBefore w:val="0"/>
              <w:widowControl w:val="0"/>
              <w:numPr>
                <w:ilvl w:val="0"/>
                <w:numId w:val="2"/>
              </w:numPr>
              <w:kinsoku/>
              <w:wordWrap w:val="0"/>
              <w:overflowPunct/>
              <w:topLinePunct w:val="0"/>
              <w:autoSpaceDE/>
              <w:autoSpaceDN/>
              <w:bidi w:val="0"/>
              <w:adjustRightInd/>
              <w:snapToGrid w:val="0"/>
              <w:spacing w:line="400" w:lineRule="exact"/>
              <w:jc w:val="left"/>
              <w:textAlignment w:val="auto"/>
              <w:rPr>
                <w:rFonts w:hint="eastAsia" w:ascii="仿宋" w:hAnsi="仿宋" w:eastAsia="仿宋" w:cs="仿宋"/>
                <w:b/>
                <w:bCs/>
                <w:sz w:val="28"/>
                <w:szCs w:val="28"/>
              </w:rPr>
            </w:pPr>
            <w:r>
              <w:rPr>
                <w:rFonts w:hint="eastAsia" w:ascii="黑体" w:hAnsi="黑体" w:eastAsia="黑体" w:cs="黑体"/>
                <w:b w:val="0"/>
                <w:bCs w:val="0"/>
                <w:sz w:val="28"/>
                <w:szCs w:val="28"/>
                <w:vertAlign w:val="baseline"/>
                <w:lang w:val="en-US" w:eastAsia="zh-CN"/>
              </w:rPr>
              <w:t>业务痛点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05" w:beforeAutospacing="0" w:after="105" w:afterAutospacing="0" w:line="240" w:lineRule="auto"/>
              <w:ind w:left="0" w:right="0"/>
              <w:jc w:val="left"/>
              <w:rPr>
                <w:rFonts w:hint="eastAsia" w:ascii="仿宋" w:hAnsi="仿宋" w:eastAsia="仿宋" w:cs="仿宋"/>
                <w:kern w:val="2"/>
                <w:sz w:val="28"/>
                <w:szCs w:val="28"/>
                <w:vertAlign w:val="baseline"/>
                <w:lang w:val="en-US" w:eastAsia="zh-CN" w:bidi="ar-SA"/>
              </w:rPr>
            </w:pPr>
            <w:r>
              <w:rPr>
                <w:rFonts w:hint="eastAsia" w:ascii="仿宋" w:hAnsi="仿宋" w:eastAsia="仿宋" w:cs="仿宋"/>
                <w:b/>
                <w:bCs/>
                <w:kern w:val="2"/>
                <w:sz w:val="28"/>
                <w:szCs w:val="28"/>
                <w:vertAlign w:val="baseline"/>
                <w:lang w:val="en-US" w:eastAsia="zh-CN" w:bidi="ar-SA"/>
              </w:rPr>
              <w:t>‌数据孤岛与共享障碍</w:t>
            </w:r>
            <w:r>
              <w:rPr>
                <w:rFonts w:hint="eastAsia" w:ascii="仿宋" w:hAnsi="仿宋" w:eastAsia="仿宋" w:cs="仿宋"/>
                <w:kern w:val="2"/>
                <w:sz w:val="28"/>
                <w:szCs w:val="28"/>
                <w:vertAlign w:val="baseline"/>
                <w:lang w:val="en-US" w:eastAsia="zh-CN" w:bidi="ar-SA"/>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05" w:beforeAutospacing="0" w:after="105" w:afterAutospacing="0" w:line="240" w:lineRule="auto"/>
              <w:ind w:left="0" w:right="0"/>
              <w:jc w:val="left"/>
              <w:rPr>
                <w:rFonts w:hint="eastAsia" w:ascii="仿宋" w:hAnsi="仿宋" w:eastAsia="仿宋" w:cs="仿宋"/>
                <w:kern w:val="2"/>
                <w:sz w:val="28"/>
                <w:szCs w:val="28"/>
                <w:vertAlign w:val="baseline"/>
                <w:lang w:val="en-US" w:eastAsia="zh-CN" w:bidi="ar-SA"/>
              </w:rPr>
            </w:pPr>
            <w:r>
              <w:rPr>
                <w:rFonts w:hint="eastAsia" w:ascii="仿宋" w:hAnsi="仿宋" w:eastAsia="仿宋" w:cs="仿宋"/>
                <w:kern w:val="2"/>
                <w:sz w:val="28"/>
                <w:szCs w:val="28"/>
                <w:vertAlign w:val="baseline"/>
                <w:lang w:val="en-US" w:eastAsia="zh-CN" w:bidi="ar-SA"/>
              </w:rPr>
              <w:t>海洋数据发布渠道分散，标准不统一，缺乏城市级共享平台，导致跨部门协作困难，制约数据要素赋能效果。例如，近岸近海数据获取不足，影响防灾减灾响应。</w:t>
            </w:r>
          </w:p>
          <w:p>
            <w:pPr>
              <w:pStyle w:val="5"/>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05" w:beforeAutospacing="0" w:after="105" w:afterAutospacing="0" w:line="240" w:lineRule="auto"/>
              <w:ind w:left="0" w:right="0"/>
              <w:jc w:val="left"/>
              <w:rPr>
                <w:rFonts w:hint="eastAsia" w:ascii="仿宋" w:hAnsi="仿宋" w:eastAsia="仿宋" w:cs="仿宋"/>
                <w:kern w:val="2"/>
                <w:sz w:val="28"/>
                <w:szCs w:val="28"/>
                <w:vertAlign w:val="baseline"/>
                <w:lang w:val="en-US" w:eastAsia="zh-CN" w:bidi="ar-SA"/>
              </w:rPr>
            </w:pPr>
            <w:r>
              <w:rPr>
                <w:rFonts w:hint="eastAsia" w:ascii="仿宋" w:hAnsi="仿宋" w:eastAsia="仿宋" w:cs="仿宋"/>
                <w:b/>
                <w:bCs/>
                <w:kern w:val="2"/>
                <w:sz w:val="28"/>
                <w:szCs w:val="28"/>
                <w:vertAlign w:val="baseline"/>
                <w:lang w:val="en-US" w:eastAsia="zh-CN" w:bidi="ar-SA"/>
              </w:rPr>
              <w:t>‌数据质量与安全风险</w:t>
            </w:r>
            <w:r>
              <w:rPr>
                <w:rFonts w:hint="eastAsia" w:ascii="仿宋" w:hAnsi="仿宋" w:eastAsia="仿宋" w:cs="仿宋"/>
                <w:kern w:val="2"/>
                <w:sz w:val="28"/>
                <w:szCs w:val="28"/>
                <w:vertAlign w:val="baseline"/>
                <w:lang w:val="en-US" w:eastAsia="zh-CN" w:bidi="ar-SA"/>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05" w:beforeAutospacing="0" w:after="105" w:afterAutospacing="0" w:line="240" w:lineRule="auto"/>
              <w:ind w:left="0" w:right="0"/>
              <w:jc w:val="left"/>
              <w:rPr>
                <w:rFonts w:hint="eastAsia" w:ascii="仿宋" w:hAnsi="仿宋" w:eastAsia="仿宋" w:cs="仿宋"/>
                <w:kern w:val="2"/>
                <w:sz w:val="28"/>
                <w:szCs w:val="28"/>
                <w:vertAlign w:val="baseline"/>
                <w:lang w:val="en-US" w:eastAsia="zh-CN" w:bidi="ar-SA"/>
              </w:rPr>
            </w:pPr>
            <w:r>
              <w:rPr>
                <w:rFonts w:hint="eastAsia" w:ascii="仿宋" w:hAnsi="仿宋" w:eastAsia="仿宋" w:cs="仿宋"/>
                <w:kern w:val="2"/>
                <w:sz w:val="28"/>
                <w:szCs w:val="28"/>
                <w:vertAlign w:val="baseline"/>
                <w:lang w:val="en-US" w:eastAsia="zh-CN" w:bidi="ar-SA"/>
              </w:rPr>
              <w:t>数据准确性、完整性难以保证，处理效率低下，且面临泄露与非法访问威胁。技术工具不足与治理意识薄弱加剧了这些问题。海洋数据交易也面临确权难、定价难等挑战。</w:t>
            </w:r>
          </w:p>
          <w:p>
            <w:pPr>
              <w:pStyle w:val="5"/>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05" w:beforeAutospacing="0" w:after="105" w:afterAutospacing="0" w:line="240" w:lineRule="auto"/>
              <w:ind w:left="0" w:right="0"/>
              <w:jc w:val="left"/>
              <w:rPr>
                <w:rFonts w:hint="eastAsia" w:ascii="仿宋" w:hAnsi="仿宋" w:eastAsia="仿宋" w:cs="仿宋"/>
                <w:kern w:val="2"/>
                <w:sz w:val="28"/>
                <w:szCs w:val="28"/>
                <w:vertAlign w:val="baseline"/>
                <w:lang w:val="en-US" w:eastAsia="zh-CN" w:bidi="ar-SA"/>
              </w:rPr>
            </w:pPr>
            <w:r>
              <w:rPr>
                <w:rFonts w:hint="eastAsia" w:ascii="仿宋" w:hAnsi="仿宋" w:eastAsia="仿宋" w:cs="仿宋"/>
                <w:b/>
                <w:bCs/>
                <w:kern w:val="2"/>
                <w:sz w:val="28"/>
                <w:szCs w:val="28"/>
                <w:vertAlign w:val="baseline"/>
                <w:lang w:val="en-US" w:eastAsia="zh-CN" w:bidi="ar-SA"/>
              </w:rPr>
              <w:t>‌技术与业务脱节</w:t>
            </w:r>
            <w:r>
              <w:rPr>
                <w:rFonts w:hint="eastAsia" w:ascii="仿宋" w:hAnsi="仿宋" w:eastAsia="仿宋" w:cs="仿宋"/>
                <w:kern w:val="2"/>
                <w:sz w:val="28"/>
                <w:szCs w:val="28"/>
                <w:vertAlign w:val="baseline"/>
                <w:lang w:val="en-US" w:eastAsia="zh-CN" w:bidi="ar-SA"/>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05" w:beforeAutospacing="0" w:after="105" w:afterAutospacing="0" w:line="240" w:lineRule="auto"/>
              <w:ind w:left="0" w:right="0"/>
              <w:jc w:val="left"/>
              <w:rPr>
                <w:rFonts w:hint="eastAsia" w:ascii="仿宋" w:hAnsi="仿宋" w:eastAsia="仿宋" w:cs="仿宋"/>
                <w:kern w:val="2"/>
                <w:sz w:val="28"/>
                <w:szCs w:val="28"/>
                <w:vertAlign w:val="baseline"/>
                <w:lang w:val="en-US" w:eastAsia="zh-CN" w:bidi="ar-SA"/>
              </w:rPr>
            </w:pPr>
            <w:r>
              <w:rPr>
                <w:rFonts w:hint="eastAsia" w:ascii="仿宋" w:hAnsi="仿宋" w:eastAsia="仿宋" w:cs="仿宋"/>
                <w:kern w:val="2"/>
                <w:sz w:val="28"/>
                <w:szCs w:val="28"/>
                <w:vertAlign w:val="baseline"/>
                <w:lang w:val="en-US" w:eastAsia="zh-CN" w:bidi="ar-SA"/>
              </w:rPr>
              <w:t>现有数据处理能力无法满足业务需求，如海洋大数据应用流程复杂，需多源感知、融合分析及可视化重构，但技术整合不足，影响决策支持效果。</w:t>
            </w:r>
          </w:p>
          <w:p>
            <w:pPr>
              <w:keepNext w:val="0"/>
              <w:keepLines w:val="0"/>
              <w:pageBreakBefore w:val="0"/>
              <w:widowControl w:val="0"/>
              <w:numPr>
                <w:ilvl w:val="0"/>
                <w:numId w:val="2"/>
              </w:numPr>
              <w:kinsoku/>
              <w:wordWrap w:val="0"/>
              <w:overflowPunct/>
              <w:topLinePunct w:val="0"/>
              <w:autoSpaceDE/>
              <w:autoSpaceDN/>
              <w:bidi w:val="0"/>
              <w:adjustRightInd/>
              <w:snapToGrid w:val="0"/>
              <w:spacing w:line="240" w:lineRule="auto"/>
              <w:jc w:val="left"/>
              <w:textAlignment w:val="auto"/>
              <w:rPr>
                <w:rFonts w:hint="eastAsia" w:ascii="仿宋" w:hAnsi="仿宋" w:eastAsia="仿宋" w:cs="仿宋"/>
                <w:b/>
                <w:bCs/>
                <w:kern w:val="2"/>
                <w:sz w:val="28"/>
                <w:szCs w:val="28"/>
                <w:vertAlign w:val="baseline"/>
                <w:lang w:val="en-US" w:eastAsia="zh-CN" w:bidi="ar-SA"/>
              </w:rPr>
            </w:pPr>
            <w:r>
              <w:rPr>
                <w:rFonts w:hint="eastAsia" w:ascii="黑体" w:hAnsi="黑体" w:eastAsia="黑体" w:cs="黑体"/>
                <w:b w:val="0"/>
                <w:bCs w:val="0"/>
                <w:kern w:val="2"/>
                <w:sz w:val="28"/>
                <w:szCs w:val="28"/>
                <w:vertAlign w:val="baseline"/>
                <w:lang w:val="en-US" w:eastAsia="zh-CN" w:bidi="ar-SA"/>
              </w:rPr>
              <w:t>应用目标</w:t>
            </w:r>
            <w:bookmarkStart w:id="0" w:name="_GoBack"/>
            <w:bookmarkEnd w:id="0"/>
          </w:p>
          <w:p>
            <w:pPr>
              <w:pStyle w:val="5"/>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05" w:beforeAutospacing="0" w:after="105" w:afterAutospacing="0" w:line="240" w:lineRule="auto"/>
              <w:ind w:left="0" w:right="0"/>
              <w:jc w:val="left"/>
              <w:rPr>
                <w:rFonts w:hint="eastAsia" w:ascii="仿宋" w:hAnsi="仿宋" w:eastAsia="仿宋" w:cs="仿宋"/>
                <w:kern w:val="2"/>
                <w:sz w:val="28"/>
                <w:szCs w:val="28"/>
                <w:vertAlign w:val="baseline"/>
                <w:lang w:val="en-US" w:eastAsia="zh-CN" w:bidi="ar-SA"/>
              </w:rPr>
            </w:pPr>
            <w:r>
              <w:rPr>
                <w:rFonts w:hint="eastAsia" w:ascii="仿宋" w:hAnsi="仿宋" w:eastAsia="仿宋" w:cs="仿宋"/>
                <w:b/>
                <w:bCs/>
                <w:kern w:val="2"/>
                <w:sz w:val="28"/>
                <w:szCs w:val="28"/>
                <w:vertAlign w:val="baseline"/>
                <w:lang w:val="en-US" w:eastAsia="zh-CN" w:bidi="ar-SA"/>
              </w:rPr>
              <w:t>‌构建一体化数据平台</w:t>
            </w:r>
            <w:r>
              <w:rPr>
                <w:rFonts w:hint="eastAsia" w:ascii="仿宋" w:hAnsi="仿宋" w:eastAsia="仿宋" w:cs="仿宋"/>
                <w:kern w:val="2"/>
                <w:sz w:val="28"/>
                <w:szCs w:val="28"/>
                <w:vertAlign w:val="baseline"/>
                <w:lang w:val="en-US" w:eastAsia="zh-CN" w:bidi="ar-SA"/>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05" w:beforeAutospacing="0" w:after="105" w:afterAutospacing="0" w:line="240" w:lineRule="auto"/>
              <w:ind w:left="0" w:right="0"/>
              <w:jc w:val="left"/>
              <w:rPr>
                <w:rFonts w:hint="eastAsia" w:ascii="仿宋" w:hAnsi="仿宋" w:eastAsia="仿宋" w:cs="仿宋"/>
                <w:kern w:val="2"/>
                <w:sz w:val="28"/>
                <w:szCs w:val="28"/>
                <w:vertAlign w:val="baseline"/>
                <w:lang w:val="en-US" w:eastAsia="zh-CN" w:bidi="ar-SA"/>
              </w:rPr>
            </w:pPr>
            <w:r>
              <w:rPr>
                <w:rFonts w:hint="eastAsia" w:ascii="仿宋" w:hAnsi="仿宋" w:eastAsia="仿宋" w:cs="仿宋"/>
                <w:kern w:val="2"/>
                <w:sz w:val="28"/>
                <w:szCs w:val="28"/>
                <w:vertAlign w:val="baseline"/>
                <w:lang w:val="en-US" w:eastAsia="zh-CN" w:bidi="ar-SA"/>
              </w:rPr>
              <w:t>通过海洋云等国家级平台，实现数据在线汇聚与共享，统一技术标准，消除数据孤岛，提升跨层级协同管理能力。例如，《共享目录》推动资源集约利用，避免重复建设。</w:t>
            </w:r>
          </w:p>
          <w:p>
            <w:pPr>
              <w:pStyle w:val="5"/>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05" w:beforeAutospacing="0" w:after="105" w:afterAutospacing="0" w:line="240" w:lineRule="auto"/>
              <w:ind w:left="0" w:right="0"/>
              <w:jc w:val="left"/>
              <w:rPr>
                <w:rFonts w:hint="eastAsia" w:ascii="仿宋" w:hAnsi="仿宋" w:eastAsia="仿宋" w:cs="仿宋"/>
                <w:kern w:val="2"/>
                <w:sz w:val="28"/>
                <w:szCs w:val="28"/>
                <w:vertAlign w:val="baseline"/>
                <w:lang w:val="en-US" w:eastAsia="zh-CN" w:bidi="ar-SA"/>
              </w:rPr>
            </w:pPr>
            <w:r>
              <w:rPr>
                <w:rFonts w:hint="eastAsia" w:ascii="仿宋" w:hAnsi="仿宋" w:eastAsia="仿宋" w:cs="仿宋"/>
                <w:b/>
                <w:bCs/>
                <w:kern w:val="2"/>
                <w:sz w:val="28"/>
                <w:szCs w:val="28"/>
                <w:vertAlign w:val="baseline"/>
                <w:lang w:val="en-US" w:eastAsia="zh-CN" w:bidi="ar-SA"/>
              </w:rPr>
              <w:t>‌强化灾害预警与资源管理</w:t>
            </w:r>
            <w:r>
              <w:rPr>
                <w:rFonts w:hint="eastAsia" w:ascii="仿宋" w:hAnsi="仿宋" w:eastAsia="仿宋" w:cs="仿宋"/>
                <w:kern w:val="2"/>
                <w:sz w:val="28"/>
                <w:szCs w:val="28"/>
                <w:vertAlign w:val="baseline"/>
                <w:lang w:val="en-US" w:eastAsia="zh-CN" w:bidi="ar-SA"/>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05" w:beforeAutospacing="0" w:after="105" w:afterAutospacing="0" w:line="240" w:lineRule="auto"/>
              <w:ind w:left="0" w:right="0"/>
              <w:jc w:val="left"/>
              <w:rPr>
                <w:rFonts w:hint="eastAsia" w:ascii="仿宋" w:hAnsi="仿宋" w:eastAsia="仿宋" w:cs="仿宋"/>
                <w:kern w:val="2"/>
                <w:sz w:val="28"/>
                <w:szCs w:val="28"/>
                <w:vertAlign w:val="baseline"/>
                <w:lang w:val="en-US" w:eastAsia="zh-CN" w:bidi="ar-SA"/>
              </w:rPr>
            </w:pPr>
            <w:r>
              <w:rPr>
                <w:rFonts w:hint="eastAsia" w:ascii="仿宋" w:hAnsi="仿宋" w:eastAsia="仿宋" w:cs="仿宋"/>
                <w:kern w:val="2"/>
                <w:sz w:val="28"/>
                <w:szCs w:val="28"/>
                <w:vertAlign w:val="baseline"/>
                <w:lang w:val="en-US" w:eastAsia="zh-CN" w:bidi="ar-SA"/>
              </w:rPr>
              <w:t>目标是将大数据技术深度融入灾害预报，提高预警精度，支撑快速响应；同时优化渔业评估模型，制定可持续捕捞策略，保护海洋资源；研发海上风电发展模型，为绿能与碳交易提供可信数据空间；为海洋牧场发展提供防灾减灾数据模型、保险理赔精算产品数据模型、养殖技术支撑模型；。</w:t>
            </w:r>
          </w:p>
          <w:p>
            <w:pPr>
              <w:pStyle w:val="5"/>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05" w:beforeAutospacing="0" w:after="105" w:afterAutospacing="0" w:line="240" w:lineRule="auto"/>
              <w:ind w:left="0" w:leftChars="0" w:right="0" w:rightChars="0"/>
              <w:jc w:val="left"/>
              <w:rPr>
                <w:rFonts w:hint="eastAsia" w:ascii="仿宋" w:hAnsi="仿宋" w:eastAsia="仿宋" w:cs="仿宋"/>
                <w:kern w:val="2"/>
                <w:sz w:val="28"/>
                <w:szCs w:val="28"/>
                <w:vertAlign w:val="baseline"/>
                <w:lang w:val="en-US" w:eastAsia="zh-CN" w:bidi="ar-SA"/>
              </w:rPr>
            </w:pPr>
            <w:r>
              <w:rPr>
                <w:rFonts w:hint="eastAsia" w:ascii="仿宋" w:hAnsi="仿宋" w:eastAsia="仿宋" w:cs="仿宋"/>
                <w:b/>
                <w:bCs/>
                <w:kern w:val="2"/>
                <w:sz w:val="28"/>
                <w:szCs w:val="28"/>
                <w:vertAlign w:val="baseline"/>
                <w:lang w:val="en-US" w:eastAsia="zh-CN" w:bidi="ar-SA"/>
              </w:rPr>
              <w:t>‌推动科研创新与全球合作</w:t>
            </w:r>
            <w:r>
              <w:rPr>
                <w:rFonts w:hint="eastAsia" w:ascii="仿宋" w:hAnsi="仿宋" w:eastAsia="仿宋" w:cs="仿宋"/>
                <w:kern w:val="2"/>
                <w:sz w:val="28"/>
                <w:szCs w:val="28"/>
                <w:vertAlign w:val="baseline"/>
                <w:lang w:val="en-US" w:eastAsia="zh-CN" w:bidi="ar-SA"/>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05" w:beforeAutospacing="0" w:after="105" w:afterAutospacing="0" w:line="240" w:lineRule="auto"/>
              <w:ind w:left="0" w:leftChars="0" w:right="0" w:rightChars="0"/>
              <w:jc w:val="left"/>
              <w:rPr>
                <w:rFonts w:hint="eastAsia" w:ascii="仿宋" w:hAnsi="仿宋" w:eastAsia="仿宋" w:cs="仿宋"/>
                <w:kern w:val="2"/>
                <w:sz w:val="28"/>
                <w:szCs w:val="28"/>
                <w:vertAlign w:val="baseline"/>
                <w:lang w:val="en-US" w:eastAsia="zh-CN" w:bidi="ar-SA"/>
              </w:rPr>
            </w:pPr>
            <w:r>
              <w:rPr>
                <w:rFonts w:hint="eastAsia" w:ascii="仿宋" w:hAnsi="仿宋" w:eastAsia="仿宋" w:cs="仿宋"/>
                <w:kern w:val="2"/>
                <w:sz w:val="28"/>
                <w:szCs w:val="28"/>
                <w:vertAlign w:val="baseline"/>
                <w:lang w:val="en-US" w:eastAsia="zh-CN" w:bidi="ar-SA"/>
              </w:rPr>
              <w:t>促进海洋大数据在生态研究、气候预测等领域的应用，挖掘数据价值；加强国际数据交换，参与全球海洋治理，构建海洋命运共同体。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4" w:hRule="atLeast"/>
        </w:trPr>
        <w:tc>
          <w:tcPr>
            <w:tcW w:w="298" w:type="pct"/>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4</w:t>
            </w:r>
          </w:p>
        </w:tc>
        <w:tc>
          <w:tcPr>
            <w:tcW w:w="515" w:type="pct"/>
            <w:vMerge w:val="continue"/>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仿宋" w:hAnsi="仿宋" w:eastAsia="仿宋" w:cs="仿宋"/>
                <w:sz w:val="28"/>
                <w:szCs w:val="28"/>
                <w:vertAlign w:val="baseline"/>
                <w:lang w:val="en-US" w:eastAsia="zh-CN"/>
              </w:rPr>
            </w:pPr>
          </w:p>
        </w:tc>
        <w:tc>
          <w:tcPr>
            <w:tcW w:w="515" w:type="pct"/>
            <w:vAlign w:val="center"/>
          </w:tcPr>
          <w:p>
            <w:pPr>
              <w:wordWrap w:val="0"/>
              <w:spacing w:line="400" w:lineRule="exact"/>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数字政府</w:t>
            </w:r>
          </w:p>
        </w:tc>
        <w:tc>
          <w:tcPr>
            <w:tcW w:w="817" w:type="pct"/>
            <w:vAlign w:val="center"/>
          </w:tcPr>
          <w:p>
            <w:pPr>
              <w:wordWrap w:val="0"/>
              <w:spacing w:line="400" w:lineRule="exact"/>
              <w:jc w:val="center"/>
              <w:rPr>
                <w:rFonts w:hint="eastAsia" w:ascii="仿宋" w:hAnsi="仿宋" w:eastAsia="仿宋" w:cs="仿宋"/>
                <w:kern w:val="2"/>
                <w:sz w:val="28"/>
                <w:szCs w:val="28"/>
                <w:lang w:val="en-US" w:eastAsia="zh-CN" w:bidi="ar-SA"/>
              </w:rPr>
            </w:pPr>
            <w:r>
              <w:rPr>
                <w:rFonts w:hint="eastAsia" w:ascii="仿宋" w:hAnsi="仿宋" w:cs="仿宋"/>
                <w:sz w:val="28"/>
                <w:szCs w:val="28"/>
              </w:rPr>
              <w:t>政务领域统一人工智能应用模式创新</w:t>
            </w:r>
          </w:p>
        </w:tc>
        <w:tc>
          <w:tcPr>
            <w:tcW w:w="2853" w:type="pct"/>
            <w:vAlign w:val="center"/>
          </w:tcPr>
          <w:p>
            <w:pPr>
              <w:wordWrap w:val="0"/>
              <w:spacing w:line="400" w:lineRule="exact"/>
              <w:rPr>
                <w:rFonts w:hint="eastAsia" w:ascii="仿宋" w:hAnsi="仿宋" w:eastAsia="仿宋" w:cs="仿宋"/>
                <w:kern w:val="2"/>
                <w:sz w:val="28"/>
                <w:szCs w:val="28"/>
                <w:lang w:val="en-US" w:eastAsia="zh-CN" w:bidi="ar-SA"/>
              </w:rPr>
            </w:pPr>
            <w:r>
              <w:rPr>
                <w:rFonts w:hint="eastAsia" w:ascii="仿宋" w:hAnsi="仿宋" w:cs="仿宋"/>
                <w:sz w:val="28"/>
                <w:szCs w:val="28"/>
              </w:rPr>
              <w:t>围绕政务领域人工智能应用需求，提供模型在线体验、模型微调训练、模型推理服务。支持大小模型推理、大小模型微调、在线体验。与现有数字政府平台无缝对接，为政府部门提供人工智能模型API接口调用，实现政务领域的便捷、安全、低成本的统一人工智能应用模式创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6" w:hRule="atLeast"/>
        </w:trPr>
        <w:tc>
          <w:tcPr>
            <w:tcW w:w="298" w:type="pct"/>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仿宋" w:hAnsi="仿宋" w:eastAsia="仿宋" w:cs="仿宋"/>
                <w:kern w:val="2"/>
                <w:sz w:val="28"/>
                <w:szCs w:val="28"/>
                <w:vertAlign w:val="baseline"/>
                <w:lang w:val="en-US" w:eastAsia="zh-CN" w:bidi="ar-SA"/>
              </w:rPr>
            </w:pPr>
            <w:r>
              <w:rPr>
                <w:rFonts w:hint="eastAsia" w:ascii="仿宋" w:hAnsi="仿宋" w:eastAsia="仿宋" w:cs="仿宋"/>
                <w:sz w:val="28"/>
                <w:szCs w:val="28"/>
                <w:vertAlign w:val="baseline"/>
                <w:lang w:val="en-US" w:eastAsia="zh-CN"/>
              </w:rPr>
              <w:t>5</w:t>
            </w:r>
          </w:p>
        </w:tc>
        <w:tc>
          <w:tcPr>
            <w:tcW w:w="515" w:type="pct"/>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仿宋" w:hAnsi="仿宋" w:eastAsia="仿宋" w:cs="仿宋"/>
                <w:kern w:val="2"/>
                <w:sz w:val="28"/>
                <w:szCs w:val="28"/>
                <w:vertAlign w:val="baseline"/>
                <w:lang w:val="en-US" w:eastAsia="zh-CN" w:bidi="ar-SA"/>
              </w:rPr>
            </w:pPr>
            <w:r>
              <w:rPr>
                <w:rFonts w:hint="eastAsia" w:ascii="仿宋" w:hAnsi="仿宋" w:eastAsia="仿宋" w:cs="仿宋"/>
                <w:sz w:val="28"/>
                <w:szCs w:val="28"/>
                <w:vertAlign w:val="baseline"/>
                <w:lang w:val="en-US" w:eastAsia="zh-CN"/>
              </w:rPr>
              <w:t>阳江市社保局</w:t>
            </w:r>
          </w:p>
        </w:tc>
        <w:tc>
          <w:tcPr>
            <w:tcW w:w="515" w:type="pct"/>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仿宋" w:hAnsi="仿宋" w:eastAsia="仿宋" w:cs="仿宋"/>
                <w:kern w:val="2"/>
                <w:sz w:val="28"/>
                <w:szCs w:val="28"/>
                <w:vertAlign w:val="baseline"/>
                <w:lang w:val="en-US" w:eastAsia="zh-CN" w:bidi="ar-SA"/>
              </w:rPr>
            </w:pPr>
            <w:r>
              <w:rPr>
                <w:rFonts w:hint="eastAsia" w:ascii="仿宋" w:hAnsi="仿宋" w:eastAsia="仿宋" w:cs="仿宋"/>
                <w:sz w:val="28"/>
                <w:szCs w:val="28"/>
                <w:vertAlign w:val="baseline"/>
                <w:lang w:val="en-US" w:eastAsia="zh-CN"/>
              </w:rPr>
              <w:t>数字政府</w:t>
            </w:r>
          </w:p>
        </w:tc>
        <w:tc>
          <w:tcPr>
            <w:tcW w:w="817" w:type="pct"/>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仿宋" w:hAnsi="仿宋" w:eastAsia="仿宋" w:cs="仿宋"/>
                <w:kern w:val="2"/>
                <w:sz w:val="28"/>
                <w:szCs w:val="28"/>
                <w:vertAlign w:val="baseline"/>
                <w:lang w:val="en-US" w:eastAsia="zh-CN" w:bidi="ar-SA"/>
              </w:rPr>
            </w:pPr>
            <w:r>
              <w:rPr>
                <w:rFonts w:hint="eastAsia" w:ascii="仿宋" w:hAnsi="仿宋" w:eastAsia="仿宋" w:cs="仿宋"/>
                <w:sz w:val="28"/>
                <w:szCs w:val="28"/>
                <w:vertAlign w:val="baseline"/>
                <w:lang w:val="en-US" w:eastAsia="zh-CN"/>
              </w:rPr>
              <w:t>数据驱动的社保管理服务模式</w:t>
            </w:r>
          </w:p>
        </w:tc>
        <w:tc>
          <w:tcPr>
            <w:tcW w:w="2853" w:type="pct"/>
            <w:vAlign w:val="center"/>
          </w:tcPr>
          <w:p>
            <w:pPr>
              <w:keepNext w:val="0"/>
              <w:keepLines w:val="0"/>
              <w:pageBreakBefore w:val="0"/>
              <w:widowControl w:val="0"/>
              <w:kinsoku/>
              <w:wordWrap w:val="0"/>
              <w:overflowPunct/>
              <w:topLinePunct w:val="0"/>
              <w:autoSpaceDE/>
              <w:autoSpaceDN/>
              <w:bidi w:val="0"/>
              <w:adjustRightInd/>
              <w:snapToGrid/>
              <w:spacing w:line="480" w:lineRule="exact"/>
              <w:jc w:val="left"/>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vertAlign w:val="baseline"/>
                <w:lang w:val="en-US" w:eastAsia="zh-CN"/>
              </w:rPr>
              <w:t>业务痛点：</w:t>
            </w:r>
            <w:r>
              <w:rPr>
                <w:rFonts w:hint="eastAsia" w:ascii="仿宋" w:hAnsi="仿宋" w:eastAsia="仿宋" w:cs="仿宋"/>
                <w:sz w:val="28"/>
                <w:szCs w:val="28"/>
                <w:lang w:val="en-US" w:eastAsia="zh-CN"/>
              </w:rPr>
              <w:t>目前的社保管理，高度依赖于业务人员、参保人员的业务水平，导致参保、缴费、养老金申领、怃恤金申领等存在服务不到位、人员履盖有遗漏的情况，社保待遇未做到应享尽享。例如，参保人遗漏了社保缴费，可能导致缴费年限不够，退休年龄将延后。参保人离开阳江前往外地就业，个人账户未进行清退，影响参保人权益。参保人死亡后，个账及怃恤金待遇因亲戚不了解情况，而未前来社保局申领。上述情况经常发生，社保局由于人少事多，且系统功能以业务办理为主，无法做到精准服务、全面服务</w:t>
            </w:r>
            <w:r>
              <w:rPr>
                <w:rFonts w:hint="eastAsia" w:ascii="仿宋" w:hAnsi="仿宋" w:cs="仿宋"/>
                <w:sz w:val="28"/>
                <w:szCs w:val="28"/>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jc w:val="left"/>
              <w:textAlignment w:val="auto"/>
              <w:rPr>
                <w:rFonts w:hint="eastAsia" w:ascii="仿宋" w:hAnsi="仿宋" w:eastAsia="仿宋" w:cs="仿宋"/>
                <w:kern w:val="2"/>
                <w:sz w:val="28"/>
                <w:szCs w:val="28"/>
                <w:vertAlign w:val="baseline"/>
                <w:lang w:val="en-US" w:eastAsia="zh-CN" w:bidi="ar-SA"/>
              </w:rPr>
            </w:pPr>
            <w:r>
              <w:rPr>
                <w:rFonts w:hint="eastAsia" w:ascii="仿宋" w:hAnsi="仿宋" w:eastAsia="仿宋" w:cs="仿宋"/>
                <w:b/>
                <w:bCs/>
                <w:sz w:val="28"/>
                <w:szCs w:val="28"/>
                <w:vertAlign w:val="baseline"/>
                <w:lang w:val="en-US" w:eastAsia="zh-CN"/>
              </w:rPr>
              <w:t>应用目标：</w:t>
            </w:r>
            <w:r>
              <w:rPr>
                <w:rFonts w:hint="eastAsia" w:ascii="仿宋" w:hAnsi="仿宋" w:eastAsia="仿宋" w:cs="仿宋"/>
                <w:sz w:val="28"/>
                <w:szCs w:val="28"/>
                <w:vertAlign w:val="baseline"/>
                <w:lang w:val="en-US" w:eastAsia="zh-CN"/>
              </w:rPr>
              <w:t>建立数据驱动的社保管理服务模式,实现待遇尽享尽享、保障一生的社会保障体系。通过整理业务规则，通过数据判断，主动推送待办任务给社保人员办理。比如，参保人属于首次参保，则推送参保辅助业务，分城乡、企业、机关三种身份进行个性化辅导。参保人如果出现在每月共享的民政火化数据中，二个月不申请怃恤金待遇的话，社保局则主动通过村社区人员进行人员通知。死亡人员，如果出现征地社保缴纳，则通知家属前来办理个账清退业务。参保人满足退休条件未进行业务办理，则主动通知参保人前来申办养老待遇业务。待遇资格到期前，提前提醒参保人进行养老资格认证等等。通过数据驱动的社保管理服务模式,实现社保均等化服务、标准化服务、全面化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0" w:hRule="atLeast"/>
        </w:trPr>
        <w:tc>
          <w:tcPr>
            <w:tcW w:w="298" w:type="pct"/>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仿宋" w:hAnsi="仿宋" w:eastAsia="仿宋" w:cs="仿宋"/>
                <w:kern w:val="2"/>
                <w:sz w:val="28"/>
                <w:szCs w:val="28"/>
                <w:vertAlign w:val="baseline"/>
                <w:lang w:val="en-US" w:eastAsia="zh-CN" w:bidi="ar-SA"/>
              </w:rPr>
            </w:pPr>
            <w:r>
              <w:rPr>
                <w:rFonts w:hint="eastAsia" w:ascii="仿宋" w:hAnsi="仿宋" w:eastAsia="仿宋" w:cs="仿宋"/>
                <w:sz w:val="28"/>
                <w:szCs w:val="28"/>
                <w:vertAlign w:val="baseline"/>
                <w:lang w:val="en-US" w:eastAsia="zh-CN"/>
              </w:rPr>
              <w:t>6</w:t>
            </w:r>
          </w:p>
        </w:tc>
        <w:tc>
          <w:tcPr>
            <w:tcW w:w="515" w:type="pct"/>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仿宋" w:hAnsi="仿宋" w:eastAsia="仿宋" w:cs="仿宋"/>
                <w:kern w:val="2"/>
                <w:sz w:val="28"/>
                <w:szCs w:val="28"/>
                <w:vertAlign w:val="baseline"/>
                <w:lang w:val="en-US" w:eastAsia="zh-CN" w:bidi="ar-SA"/>
              </w:rPr>
            </w:pPr>
            <w:r>
              <w:rPr>
                <w:rFonts w:hint="eastAsia" w:ascii="仿宋" w:hAnsi="仿宋" w:eastAsia="仿宋" w:cs="仿宋"/>
                <w:sz w:val="28"/>
                <w:szCs w:val="28"/>
                <w:vertAlign w:val="baseline"/>
                <w:lang w:val="en-US" w:eastAsia="zh-CN"/>
              </w:rPr>
              <w:t>阳江市投资促进局</w:t>
            </w:r>
          </w:p>
        </w:tc>
        <w:tc>
          <w:tcPr>
            <w:tcW w:w="515" w:type="pct"/>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仿宋" w:hAnsi="仿宋" w:eastAsia="仿宋" w:cs="仿宋"/>
                <w:kern w:val="2"/>
                <w:sz w:val="28"/>
                <w:szCs w:val="28"/>
                <w:vertAlign w:val="baseline"/>
                <w:lang w:val="en-US" w:eastAsia="zh-CN" w:bidi="ar-SA"/>
              </w:rPr>
            </w:pPr>
            <w:r>
              <w:rPr>
                <w:rFonts w:hint="eastAsia" w:ascii="仿宋" w:hAnsi="仿宋" w:eastAsia="仿宋" w:cs="仿宋"/>
                <w:sz w:val="28"/>
                <w:szCs w:val="28"/>
                <w:vertAlign w:val="baseline"/>
                <w:lang w:val="en-US" w:eastAsia="zh-CN"/>
              </w:rPr>
              <w:t>数字政府</w:t>
            </w:r>
          </w:p>
        </w:tc>
        <w:tc>
          <w:tcPr>
            <w:tcW w:w="817" w:type="pct"/>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仿宋" w:hAnsi="仿宋" w:eastAsia="仿宋" w:cs="仿宋"/>
                <w:kern w:val="2"/>
                <w:sz w:val="28"/>
                <w:szCs w:val="28"/>
                <w:vertAlign w:val="baseline"/>
                <w:lang w:val="en-US" w:eastAsia="zh-CN" w:bidi="ar-SA"/>
              </w:rPr>
            </w:pPr>
            <w:r>
              <w:rPr>
                <w:rFonts w:hint="eastAsia" w:ascii="仿宋" w:hAnsi="仿宋" w:eastAsia="仿宋" w:cs="仿宋"/>
                <w:sz w:val="28"/>
                <w:szCs w:val="28"/>
                <w:vertAlign w:val="baseline"/>
                <w:lang w:val="en-US" w:eastAsia="zh-CN"/>
              </w:rPr>
              <w:t>招商引资项目全流程管理</w:t>
            </w:r>
          </w:p>
        </w:tc>
        <w:tc>
          <w:tcPr>
            <w:tcW w:w="2853" w:type="pct"/>
            <w:vAlign w:val="center"/>
          </w:tcPr>
          <w:p>
            <w:pPr>
              <w:keepNext w:val="0"/>
              <w:keepLines w:val="0"/>
              <w:pageBreakBefore w:val="0"/>
              <w:widowControl w:val="0"/>
              <w:kinsoku/>
              <w:wordWrap w:val="0"/>
              <w:overflowPunct/>
              <w:topLinePunct w:val="0"/>
              <w:autoSpaceDE/>
              <w:autoSpaceDN/>
              <w:bidi w:val="0"/>
              <w:adjustRightInd/>
              <w:snapToGrid/>
              <w:spacing w:line="480" w:lineRule="exact"/>
              <w:jc w:val="left"/>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项目可视化进度流：自动生成进度图，实时显示各环节耗时（如环评审批已进行15/20天）</w:t>
            </w:r>
          </w:p>
          <w:p>
            <w:pPr>
              <w:keepNext w:val="0"/>
              <w:keepLines w:val="0"/>
              <w:pageBreakBefore w:val="0"/>
              <w:widowControl w:val="0"/>
              <w:kinsoku/>
              <w:wordWrap w:val="0"/>
              <w:overflowPunct/>
              <w:topLinePunct w:val="0"/>
              <w:autoSpaceDE/>
              <w:autoSpaceDN/>
              <w:bidi w:val="0"/>
              <w:adjustRightInd/>
              <w:snapToGrid/>
              <w:spacing w:line="480" w:lineRule="exact"/>
              <w:jc w:val="left"/>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任务智能分派引擎：触发规则：例如用地审批通过→自动推送施工许可申请至住建局</w:t>
            </w:r>
          </w:p>
          <w:p>
            <w:pPr>
              <w:keepNext w:val="0"/>
              <w:keepLines w:val="0"/>
              <w:pageBreakBefore w:val="0"/>
              <w:widowControl w:val="0"/>
              <w:kinsoku/>
              <w:wordWrap w:val="0"/>
              <w:overflowPunct/>
              <w:topLinePunct w:val="0"/>
              <w:autoSpaceDE/>
              <w:autoSpaceDN/>
              <w:bidi w:val="0"/>
              <w:adjustRightInd/>
              <w:snapToGrid/>
              <w:spacing w:line="480" w:lineRule="exact"/>
              <w:jc w:val="left"/>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并联审批：多部门同屏协同</w:t>
            </w:r>
          </w:p>
          <w:p>
            <w:pPr>
              <w:keepNext w:val="0"/>
              <w:keepLines w:val="0"/>
              <w:pageBreakBefore w:val="0"/>
              <w:widowControl w:val="0"/>
              <w:kinsoku/>
              <w:wordWrap w:val="0"/>
              <w:overflowPunct/>
              <w:topLinePunct w:val="0"/>
              <w:autoSpaceDE/>
              <w:autoSpaceDN/>
              <w:bidi w:val="0"/>
              <w:adjustRightInd/>
              <w:snapToGrid/>
              <w:spacing w:line="480" w:lineRule="exact"/>
              <w:jc w:val="left"/>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督办预警：看板三色灯机制（绿灯：耗时≤标准时长80%；黄灯：标准时长80%≤耗时≤标准时长100%→系统/短信提醒责任人；红灯：耗时≥标准时长100%→推送分管领导）</w:t>
            </w:r>
          </w:p>
          <w:p>
            <w:pPr>
              <w:keepNext w:val="0"/>
              <w:keepLines w:val="0"/>
              <w:pageBreakBefore w:val="0"/>
              <w:widowControl w:val="0"/>
              <w:kinsoku/>
              <w:wordWrap w:val="0"/>
              <w:overflowPunct/>
              <w:topLinePunct w:val="0"/>
              <w:autoSpaceDE/>
              <w:autoSpaceDN/>
              <w:bidi w:val="0"/>
              <w:adjustRightInd/>
              <w:snapToGrid/>
              <w:spacing w:line="480" w:lineRule="exact"/>
              <w:jc w:val="left"/>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堵点热力图：定位高频卡点部门（如某部门审批超时占比65%）</w:t>
            </w:r>
          </w:p>
          <w:p>
            <w:pPr>
              <w:keepNext w:val="0"/>
              <w:keepLines w:val="0"/>
              <w:pageBreakBefore w:val="0"/>
              <w:widowControl w:val="0"/>
              <w:kinsoku/>
              <w:wordWrap w:val="0"/>
              <w:overflowPunct/>
              <w:topLinePunct w:val="0"/>
              <w:autoSpaceDE/>
              <w:autoSpaceDN/>
              <w:bidi w:val="0"/>
              <w:adjustRightInd/>
              <w:snapToGrid/>
              <w:spacing w:line="480" w:lineRule="exact"/>
              <w:jc w:val="left"/>
              <w:textAlignment w:val="auto"/>
              <w:rPr>
                <w:rFonts w:hint="eastAsia" w:ascii="仿宋" w:hAnsi="仿宋" w:eastAsia="仿宋" w:cs="仿宋"/>
                <w:sz w:val="28"/>
                <w:szCs w:val="28"/>
                <w:vertAlign w:val="baseline"/>
                <w:lang w:val="en-US" w:eastAsia="zh-CN"/>
              </w:rPr>
            </w:pPr>
            <w:r>
              <w:rPr>
                <w:rFonts w:hint="eastAsia" w:ascii="仿宋" w:hAnsi="仿宋" w:eastAsia="仿宋" w:cs="仿宋"/>
                <w:b/>
                <w:bCs/>
                <w:sz w:val="28"/>
                <w:szCs w:val="28"/>
                <w:vertAlign w:val="baseline"/>
                <w:lang w:val="en-US" w:eastAsia="zh-CN"/>
              </w:rPr>
              <w:t>业务痛点：</w:t>
            </w:r>
            <w:r>
              <w:rPr>
                <w:rFonts w:hint="eastAsia" w:ascii="仿宋" w:hAnsi="仿宋" w:eastAsia="仿宋" w:cs="仿宋"/>
                <w:sz w:val="28"/>
                <w:szCs w:val="28"/>
                <w:vertAlign w:val="baseline"/>
                <w:lang w:val="en-US" w:eastAsia="zh-CN"/>
              </w:rPr>
              <w:t>招商引资项目库存在动态更新慢、数据碎片化、人工汇总进度慢等问题，需要实现全流程可视化追踪、项目进度实时更新、明确环节责任主体、压缩部门间等待时间以及自动采集数据等目标。</w:t>
            </w:r>
          </w:p>
          <w:p>
            <w:pPr>
              <w:keepNext w:val="0"/>
              <w:keepLines w:val="0"/>
              <w:pageBreakBefore w:val="0"/>
              <w:widowControl w:val="0"/>
              <w:kinsoku/>
              <w:wordWrap w:val="0"/>
              <w:overflowPunct/>
              <w:topLinePunct w:val="0"/>
              <w:autoSpaceDE/>
              <w:autoSpaceDN/>
              <w:bidi w:val="0"/>
              <w:adjustRightInd/>
              <w:snapToGrid/>
              <w:spacing w:line="480" w:lineRule="exact"/>
              <w:jc w:val="left"/>
              <w:textAlignment w:val="auto"/>
              <w:rPr>
                <w:rFonts w:hint="eastAsia" w:ascii="仿宋" w:hAnsi="仿宋" w:eastAsia="仿宋" w:cs="仿宋"/>
                <w:kern w:val="2"/>
                <w:sz w:val="28"/>
                <w:szCs w:val="28"/>
                <w:vertAlign w:val="baseline"/>
                <w:lang w:val="en-US" w:eastAsia="zh-CN" w:bidi="ar-SA"/>
              </w:rPr>
            </w:pPr>
            <w:r>
              <w:rPr>
                <w:rFonts w:hint="eastAsia" w:ascii="仿宋" w:hAnsi="仿宋" w:eastAsia="仿宋" w:cs="仿宋"/>
                <w:b/>
                <w:bCs/>
                <w:sz w:val="28"/>
                <w:szCs w:val="28"/>
                <w:vertAlign w:val="baseline"/>
                <w:lang w:val="en-US" w:eastAsia="zh-CN"/>
              </w:rPr>
              <w:t>应用目标：</w:t>
            </w:r>
            <w:r>
              <w:rPr>
                <w:rFonts w:hint="eastAsia" w:ascii="仿宋" w:hAnsi="仿宋" w:eastAsia="仿宋" w:cs="仿宋"/>
                <w:sz w:val="28"/>
                <w:szCs w:val="28"/>
                <w:vertAlign w:val="baseline"/>
                <w:lang w:val="en-US" w:eastAsia="zh-CN"/>
              </w:rPr>
              <w:t>本系统将实现招商项目全流程穿透式监管，助力消除进度盲区，显著压缩跨部门协作周期，降低项目延误风险；通过智能化管理全面解放人力负荷，加速项目落地进程，有效节约财政资源。系统生成的堵点热力图与效能排行榜精准驱动部门协同，打造全省首创的“数字孪生监管”范式，构建“进度全景可视、责任闭环可溯、风险秒级预警”的现代化治理体系。同步驱动风险防控全面升级，强化税收核验与审计联动，筑牢营商安全防线；深度优化企业生态协同，推动服务模式从被动响应转向主动预警；高效复用跨系统资源，打通数据孤岛构建全市统一问题解决闭环，最终建成“招商监管+税收风控+企业服务”三位一体智能平台，为高质量发展注入新动能，树立全国改革标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0" w:hRule="atLeast"/>
        </w:trPr>
        <w:tc>
          <w:tcPr>
            <w:tcW w:w="298" w:type="pct"/>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仿宋" w:hAnsi="仿宋" w:eastAsia="仿宋" w:cs="仿宋"/>
                <w:kern w:val="2"/>
                <w:sz w:val="28"/>
                <w:szCs w:val="28"/>
                <w:vertAlign w:val="baseline"/>
                <w:lang w:val="en-US" w:eastAsia="zh-CN" w:bidi="ar-SA"/>
              </w:rPr>
            </w:pPr>
            <w:r>
              <w:rPr>
                <w:rFonts w:hint="eastAsia" w:ascii="仿宋" w:hAnsi="仿宋" w:eastAsia="仿宋" w:cs="仿宋"/>
                <w:b/>
                <w:bCs/>
                <w:color w:val="auto"/>
                <w:sz w:val="28"/>
                <w:szCs w:val="28"/>
                <w:vertAlign w:val="baseline"/>
                <w:lang w:val="en-US" w:eastAsia="zh-CN"/>
              </w:rPr>
              <w:t>7</w:t>
            </w:r>
          </w:p>
        </w:tc>
        <w:tc>
          <w:tcPr>
            <w:tcW w:w="515" w:type="pct"/>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仿宋" w:hAnsi="仿宋" w:eastAsia="仿宋" w:cs="仿宋"/>
                <w:kern w:val="2"/>
                <w:sz w:val="28"/>
                <w:szCs w:val="28"/>
                <w:vertAlign w:val="baseline"/>
                <w:lang w:val="en-US" w:eastAsia="zh-CN" w:bidi="ar-SA"/>
              </w:rPr>
            </w:pPr>
            <w:r>
              <w:rPr>
                <w:rFonts w:hint="eastAsia" w:ascii="仿宋" w:hAnsi="仿宋" w:eastAsia="仿宋" w:cs="仿宋"/>
                <w:sz w:val="28"/>
                <w:szCs w:val="28"/>
                <w:vertAlign w:val="baseline"/>
                <w:lang w:val="en-US" w:eastAsia="zh-CN"/>
              </w:rPr>
              <w:t>阳江市政务服务和数据管理局</w:t>
            </w:r>
          </w:p>
        </w:tc>
        <w:tc>
          <w:tcPr>
            <w:tcW w:w="515" w:type="pct"/>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仿宋" w:hAnsi="仿宋" w:eastAsia="仿宋" w:cs="仿宋"/>
                <w:kern w:val="2"/>
                <w:sz w:val="28"/>
                <w:szCs w:val="28"/>
                <w:vertAlign w:val="baseline"/>
                <w:lang w:val="en-US" w:eastAsia="zh-CN" w:bidi="ar-SA"/>
              </w:rPr>
            </w:pPr>
            <w:r>
              <w:rPr>
                <w:rFonts w:hint="eastAsia" w:ascii="仿宋" w:hAnsi="仿宋" w:eastAsia="仿宋" w:cs="仿宋"/>
                <w:sz w:val="28"/>
                <w:szCs w:val="28"/>
                <w:vertAlign w:val="baseline"/>
                <w:lang w:val="en-US" w:eastAsia="zh-CN"/>
              </w:rPr>
              <w:t>数字政府</w:t>
            </w:r>
          </w:p>
        </w:tc>
        <w:tc>
          <w:tcPr>
            <w:tcW w:w="817" w:type="pct"/>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仿宋" w:hAnsi="仿宋" w:eastAsia="仿宋" w:cs="仿宋"/>
                <w:kern w:val="2"/>
                <w:sz w:val="28"/>
                <w:szCs w:val="28"/>
                <w:vertAlign w:val="baseline"/>
                <w:lang w:val="en-US" w:eastAsia="zh-CN" w:bidi="ar-SA"/>
              </w:rPr>
            </w:pPr>
            <w:r>
              <w:rPr>
                <w:rFonts w:hint="eastAsia" w:ascii="仿宋" w:hAnsi="仿宋" w:eastAsia="仿宋" w:cs="仿宋"/>
                <w:sz w:val="28"/>
                <w:szCs w:val="28"/>
                <w:vertAlign w:val="baseline"/>
                <w:lang w:val="en-US" w:eastAsia="zh-CN"/>
              </w:rPr>
              <w:t>一站式移动端服务——粤系列融合</w:t>
            </w:r>
          </w:p>
        </w:tc>
        <w:tc>
          <w:tcPr>
            <w:tcW w:w="2853" w:type="pct"/>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黑体" w:hAnsi="黑体" w:eastAsia="黑体" w:cs="黑体"/>
                <w:b w:val="0"/>
                <w:bCs w:val="0"/>
                <w:sz w:val="28"/>
                <w:szCs w:val="28"/>
                <w:vertAlign w:val="baseline"/>
                <w:lang w:val="en-US" w:eastAsia="zh-CN"/>
              </w:rPr>
            </w:pPr>
            <w:r>
              <w:rPr>
                <w:rFonts w:hint="eastAsia" w:ascii="黑体" w:hAnsi="黑体" w:eastAsia="黑体" w:cs="黑体"/>
                <w:b w:val="0"/>
                <w:bCs w:val="0"/>
                <w:sz w:val="28"/>
                <w:szCs w:val="28"/>
                <w:vertAlign w:val="baseline"/>
                <w:lang w:val="en-US" w:eastAsia="zh-CN"/>
              </w:rPr>
              <w:t>一、服务能力统一发布</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（一）业务痛点：目前面向群众、企业的移动端服务入口较为分散，粤省事、粤商通、粤智助三端的供给能力存在差异，这不仅给企业、群众使用带来了不便，还影响了整体的服务体验。</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二）应用目标：以粤省事APP作为核心载体，深度融合企业服务、整合粤智助事项，实现移动端事项、自助端事项均可在粤省事APP集中办理，通过合理分区引导群众企业快速找到服务入口，为企业和群众提供更加便捷、高效、一致的服务体验，从而提升服务的整体质量和满意度。</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黑体" w:hAnsi="黑体" w:eastAsia="黑体" w:cs="黑体"/>
                <w:b w:val="0"/>
                <w:bCs w:val="0"/>
                <w:sz w:val="28"/>
                <w:szCs w:val="28"/>
                <w:vertAlign w:val="baseline"/>
                <w:lang w:val="en-US" w:eastAsia="zh-CN"/>
              </w:rPr>
            </w:pPr>
            <w:r>
              <w:rPr>
                <w:rFonts w:hint="eastAsia" w:ascii="黑体" w:hAnsi="黑体" w:eastAsia="黑体" w:cs="黑体"/>
                <w:b w:val="0"/>
                <w:bCs w:val="0"/>
                <w:sz w:val="28"/>
                <w:szCs w:val="28"/>
                <w:vertAlign w:val="baseline"/>
                <w:lang w:val="en-US" w:eastAsia="zh-CN"/>
              </w:rPr>
              <w:t>二、服务接口统一管理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一）业务痛点：当同一个服务事项需要在粤省事、粤商通、粤智助等多个平台上线时，往往需要不同团队分别与后端业务系统进行对接，这导致了大量的重复工作，不仅耗费了大量的人力、物力和时间，还增加了出错的可能性，严重影响了服务上线的效率和质量。</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仿宋" w:hAnsi="仿宋" w:eastAsia="仿宋" w:cs="仿宋"/>
                <w:kern w:val="2"/>
                <w:sz w:val="28"/>
                <w:szCs w:val="28"/>
                <w:vertAlign w:val="baseline"/>
                <w:lang w:val="en-US" w:eastAsia="zh-CN" w:bidi="ar-SA"/>
              </w:rPr>
            </w:pPr>
            <w:r>
              <w:rPr>
                <w:rFonts w:hint="eastAsia" w:ascii="仿宋" w:hAnsi="仿宋" w:eastAsia="仿宋" w:cs="仿宋"/>
                <w:sz w:val="28"/>
                <w:szCs w:val="28"/>
                <w:vertAlign w:val="baseline"/>
                <w:lang w:val="en-US" w:eastAsia="zh-CN"/>
              </w:rPr>
              <w:t>（二）应用目标：将各业务系统的后端服务接口进行集中管理和统一发布，构建一个标准化、规范化的接口服务体系。实现业务系统只需将接口服务一次性注册，粤省事、粤智助等平台均可按照统一的标准进行接入，从而简化对接流程，提高服务事项上线的效率，确保各平台服务的一致性和稳定性，为用户提供更加稳定可靠的服务。</w:t>
            </w:r>
          </w:p>
        </w:tc>
      </w:tr>
    </w:tbl>
    <w:p>
      <w:pPr>
        <w:keepNext w:val="0"/>
        <w:keepLines w:val="0"/>
        <w:pageBreakBefore w:val="0"/>
        <w:widowControl w:val="0"/>
        <w:kinsoku/>
        <w:wordWrap/>
        <w:overflowPunct/>
        <w:topLinePunct w:val="0"/>
        <w:autoSpaceDE/>
        <w:autoSpaceDN/>
        <w:bidi w:val="0"/>
        <w:adjustRightInd/>
        <w:snapToGrid/>
        <w:ind w:firstLine="680" w:firstLineChars="200"/>
        <w:jc w:val="both"/>
        <w:textAlignment w:val="auto"/>
        <w:rPr>
          <w:rFonts w:hint="default" w:ascii="仿宋" w:hAnsi="仿宋" w:cs="仿宋"/>
          <w:sz w:val="34"/>
          <w:szCs w:val="32"/>
          <w:lang w:val="en-US" w:eastAsia="zh-CN"/>
        </w:rPr>
      </w:pPr>
    </w:p>
    <w:sectPr>
      <w:pgSz w:w="16838" w:h="11906" w:orient="landscape"/>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altName w:val="方正书宋_GBK"/>
    <w:panose1 w:val="02010600030101010101"/>
    <w:charset w:val="50"/>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ESI宋体-GB18030">
    <w:panose1 w:val="02000500000000000000"/>
    <w:charset w:val="86"/>
    <w:family w:val="auto"/>
    <w:pitch w:val="default"/>
    <w:sig w:usb0="A00002BF" w:usb1="38C77CFA" w:usb2="00000016" w:usb3="00000000" w:csb0="0004000F" w:csb1="00000000"/>
  </w:font>
  <w:font w:name="方正仿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Angsana New">
    <w:panose1 w:val="02020603050405020304"/>
    <w:charset w:val="00"/>
    <w:family w:val="auto"/>
    <w:pitch w:val="default"/>
    <w:sig w:usb0="81000003" w:usb1="00000000" w:usb2="00000000" w:usb3="00000000" w:csb0="00010001" w:csb1="00000000"/>
  </w:font>
  <w:font w:name="微软雅黑">
    <w:panose1 w:val="020B0503020204020204"/>
    <w:charset w:val="86"/>
    <w:family w:val="auto"/>
    <w:pitch w:val="default"/>
    <w:sig w:usb0="80000287" w:usb1="280F3C52" w:usb2="00000016" w:usb3="00000000" w:csb0="0004001F" w:csb1="00000000"/>
  </w:font>
  <w:font w:name="Andalus">
    <w:panose1 w:val="02020603050405020304"/>
    <w:charset w:val="00"/>
    <w:family w:val="auto"/>
    <w:pitch w:val="default"/>
    <w:sig w:usb0="00002003" w:usb1="80000000" w:usb2="00000008" w:usb3="00000000" w:csb0="00000041" w:csb1="200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2535D3"/>
    <w:multiLevelType w:val="singleLevel"/>
    <w:tmpl w:val="C92535D3"/>
    <w:lvl w:ilvl="0" w:tentative="0">
      <w:start w:val="1"/>
      <w:numFmt w:val="decimal"/>
      <w:pStyle w:val="10"/>
      <w:lvlText w:val="%1."/>
      <w:lvlJc w:val="left"/>
      <w:pPr>
        <w:ind w:left="425" w:hanging="425"/>
      </w:pPr>
      <w:rPr>
        <w:rFonts w:hint="default"/>
      </w:rPr>
    </w:lvl>
  </w:abstractNum>
  <w:abstractNum w:abstractNumId="1">
    <w:nsid w:val="FFBA7CA4"/>
    <w:multiLevelType w:val="singleLevel"/>
    <w:tmpl w:val="FFBA7CA4"/>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TrueTypeFonts/>
  <w:saveSubsetFonts/>
  <w:bordersDoNotSurroundHeader w:val="0"/>
  <w:bordersDoNotSurroundFooter w:val="0"/>
  <w:revisionView w:markup="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xNDM5ZGY4ZWY2Njc4YjU5NTU5N2E4NDJhNzQ0ODIifQ=="/>
  </w:docVars>
  <w:rsids>
    <w:rsidRoot w:val="00000000"/>
    <w:rsid w:val="1A046400"/>
    <w:rsid w:val="1A78077B"/>
    <w:rsid w:val="1EF5D3A8"/>
    <w:rsid w:val="21E8719E"/>
    <w:rsid w:val="2BD75FC6"/>
    <w:rsid w:val="2DAF38BC"/>
    <w:rsid w:val="371737D3"/>
    <w:rsid w:val="384C3DA9"/>
    <w:rsid w:val="38E70760"/>
    <w:rsid w:val="3D167883"/>
    <w:rsid w:val="446A45CF"/>
    <w:rsid w:val="56E6382B"/>
    <w:rsid w:val="62C41857"/>
    <w:rsid w:val="678A29F5"/>
    <w:rsid w:val="69C80215"/>
    <w:rsid w:val="76BDB903"/>
    <w:rsid w:val="77FC73FD"/>
    <w:rsid w:val="793E0EC9"/>
    <w:rsid w:val="7B3140C2"/>
    <w:rsid w:val="7F610359"/>
    <w:rsid w:val="DFAFABBC"/>
    <w:rsid w:val="FFFF13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 w:cs="Times New Roman"/>
      <w:kern w:val="2"/>
      <w:sz w:val="34"/>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600" w:lineRule="exact"/>
      <w:ind w:firstLine="680" w:firstLineChars="200"/>
      <w:outlineLvl w:val="0"/>
    </w:pPr>
    <w:rPr>
      <w:rFonts w:eastAsia="黑体"/>
      <w:b/>
      <w:kern w:val="44"/>
      <w:sz w:val="44"/>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楷体"/>
      <w:b/>
      <w:sz w:val="34"/>
    </w:rPr>
  </w:style>
  <w:style w:type="paragraph" w:styleId="4">
    <w:name w:val="heading 3"/>
    <w:basedOn w:val="1"/>
    <w:next w:val="1"/>
    <w:link w:val="9"/>
    <w:semiHidden/>
    <w:unhideWhenUsed/>
    <w:qFormat/>
    <w:uiPriority w:val="0"/>
    <w:pPr>
      <w:keepNext/>
      <w:keepLines/>
      <w:spacing w:before="260" w:beforeLines="0" w:beforeAutospacing="0" w:after="260" w:afterLines="0" w:afterAutospacing="0" w:line="413" w:lineRule="auto"/>
      <w:outlineLvl w:val="2"/>
    </w:pPr>
    <w:rPr>
      <w:rFonts w:asciiTheme="minorAscii" w:hAnsiTheme="minorAscii" w:eastAsiaTheme="minorEastAsia" w:cstheme="minorBidi"/>
      <w:b/>
      <w:sz w:val="32"/>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qFormat/>
    <w:uiPriority w:val="0"/>
    <w:rPr>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标题 3 Char"/>
    <w:link w:val="4"/>
    <w:qFormat/>
    <w:uiPriority w:val="0"/>
    <w:rPr>
      <w:rFonts w:asciiTheme="minorAscii" w:hAnsiTheme="minorAscii" w:eastAsiaTheme="minorEastAsia" w:cstheme="minorBidi"/>
      <w:b/>
      <w:sz w:val="32"/>
    </w:rPr>
  </w:style>
  <w:style w:type="paragraph" w:customStyle="1" w:styleId="10">
    <w:name w:val="样式1"/>
    <w:basedOn w:val="1"/>
    <w:next w:val="1"/>
    <w:qFormat/>
    <w:uiPriority w:val="0"/>
    <w:pPr>
      <w:numPr>
        <w:ilvl w:val="0"/>
        <w:numId w:val="1"/>
      </w:numPr>
      <w:ind w:firstLine="420" w:firstLineChars="200"/>
      <w:jc w:val="left"/>
    </w:pPr>
    <w:rPr>
      <w:rFonts w:hint="eastAsia" w:ascii="黑体" w:hAnsi="黑体" w:eastAsia="黑体" w:cstheme="minorBidi"/>
      <w:sz w:val="21"/>
    </w:rPr>
  </w:style>
  <w:style w:type="paragraph" w:customStyle="1" w:styleId="11">
    <w:name w:val="Table Text"/>
    <w:basedOn w:val="1"/>
    <w:semiHidden/>
    <w:qFormat/>
    <w:uiPriority w:val="0"/>
    <w:rPr>
      <w:rFonts w:ascii="宋体" w:hAnsi="宋体" w:eastAsia="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2965</Words>
  <Characters>3002</Characters>
  <Lines>0</Lines>
  <Paragraphs>0</Paragraphs>
  <TotalTime>3</TotalTime>
  <ScaleCrop>false</ScaleCrop>
  <LinksUpToDate>false</LinksUpToDate>
  <CharactersWithSpaces>3089</CharactersWithSpaces>
  <Application>WPS Office_11.8.2.10624_F1E327BC-269C-435d-A152-05C5408002CA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2025-02-07T09:16:00Z</dcterms:created>
  <dc:creator>33</dc:creator>
  <cp:lastModifiedBy>林瑞冰</cp:lastModifiedBy>
  <cp:lastPrinted>2025-11-06T17:25:00Z</cp:lastPrinted>
  <dcterms:modified xsi:type="dcterms:W3CDTF">2025-12-04T16:02:27Z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2052-11.8.2.10624</vt:lpwstr>
  </property>
  <property fmtid="{D5CDD505-2E9C-101B-9397-08002B2CF9AE}" pid="3" name="ICV">
    <vt:lpwstr>37B6FFF9920D1DF9A0CA1F69F788B23B</vt:lpwstr>
  </property>
  <property fmtid="{D5CDD505-2E9C-101B-9397-08002B2CF9AE}" pid="4" name="showFlag">
    <vt:bool>true</vt:bool>
  </property>
</Properties>
</file>