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374" w:rsidRDefault="004B5374" w:rsidP="004B5374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Times New Roman" w:hint="eastAsia"/>
          <w:kern w:val="0"/>
          <w:sz w:val="44"/>
          <w:szCs w:val="44"/>
        </w:rPr>
      </w:pPr>
      <w:r>
        <w:rPr>
          <w:rFonts w:ascii="方正小标宋简体" w:eastAsia="方正小标宋简体" w:hAnsi="Times New Roman" w:hint="eastAsia"/>
          <w:kern w:val="0"/>
          <w:sz w:val="44"/>
          <w:szCs w:val="44"/>
        </w:rPr>
        <w:t>2017年广东省分级诊疗工作考核评价标准</w:t>
      </w:r>
    </w:p>
    <w:p w:rsidR="004B5374" w:rsidRDefault="004B5374" w:rsidP="004B5374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方正仿宋简体" w:hAnsi="Times New Roman"/>
          <w:kern w:val="0"/>
          <w:sz w:val="32"/>
          <w:szCs w:val="32"/>
        </w:rPr>
      </w:pPr>
    </w:p>
    <w:p w:rsidR="004B5374" w:rsidRDefault="004B5374" w:rsidP="004B5374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到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2017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年，分级诊疗工作应达到以下标准：</w:t>
      </w:r>
    </w:p>
    <w:p w:rsidR="004B5374" w:rsidRDefault="004B5374" w:rsidP="004B5374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1.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基层医疗卫生机构建设达标率≥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95%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，基层医疗卫生机构诊疗量占总诊疗量比例≥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65%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。</w:t>
      </w:r>
    </w:p>
    <w:p w:rsidR="004B5374" w:rsidRDefault="004B5374" w:rsidP="004B5374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2.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每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30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万人口县（市）至少拥有一所二级甲等综合医院、一所二级甲等中医医院、二级妇幼健康服务机构，县域内住院率达到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90%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左右，基本实现大病不出县。鼓励医疗资源富余的县级医院向康复、护理为主体的机构转型。</w:t>
      </w:r>
    </w:p>
    <w:p w:rsidR="004B5374" w:rsidRDefault="004B5374" w:rsidP="004B5374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3.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每万名城市居民至少拥有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2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名以上全科医生，每个乡镇卫生院至少拥有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1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名以上全科医生。家庭医生签约服务覆盖率达到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30%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以上，重点人群签约服务覆盖率达到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60%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以上。</w:t>
      </w:r>
    </w:p>
    <w:p w:rsidR="004B5374" w:rsidRDefault="004B5374" w:rsidP="004B5374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4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．居民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2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周患病首选基层医疗机构的比例≥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70%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。</w:t>
      </w:r>
    </w:p>
    <w:p w:rsidR="004B5374" w:rsidRDefault="004B5374" w:rsidP="004B5374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5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．完成远程医疗平台软件开发、硬件采购、系统部署工作，覆盖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50%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以上的县（市、区）。</w:t>
      </w:r>
    </w:p>
    <w:p w:rsidR="004B5374" w:rsidRDefault="004B5374" w:rsidP="004B5374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6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．结合全民健康信息化建设项目，建立分级诊疗管理信息系统，基本覆盖全部二、三级医院和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80%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以上的乡镇卫生院、社区卫生服务中心。</w:t>
      </w:r>
    </w:p>
    <w:p w:rsidR="004B5374" w:rsidRDefault="004B5374" w:rsidP="004B5374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7.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三级和二级医院向康复、护理等慢性病医疗机构和基层医疗卫生机构转诊人数年增长率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10%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以上。</w:t>
      </w:r>
    </w:p>
    <w:p w:rsidR="004B5374" w:rsidRDefault="004B5374" w:rsidP="004B5374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8.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全部县级医院与三级医院，全部社区卫生服务中心、乡镇卫生院和二、三级医院建立稳定的技术帮扶和分工协作关系。</w:t>
      </w:r>
    </w:p>
    <w:p w:rsidR="004B5374" w:rsidRDefault="004B5374" w:rsidP="004B5374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9.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城市高血压、糖尿病患者规范化诊疗和管理率达到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lastRenderedPageBreak/>
        <w:t>40%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以上。</w:t>
      </w:r>
    </w:p>
    <w:p w:rsidR="004B5374" w:rsidRDefault="004B5374" w:rsidP="004B5374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简体" w:hAnsi="Times New Roman" w:hint="eastAsia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 xml:space="preserve">10. 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提供中医药服务的县级公立医院、乡镇卫生院、社区卫生服务中心、村卫生站占同类机构之比分别达到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98%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、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95%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、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91%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、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85%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。基层医疗卫生机构中医诊疗量占同类机构诊疗总量比例≥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30%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。</w:t>
      </w:r>
    </w:p>
    <w:p w:rsidR="00685C4A" w:rsidRPr="004B5374" w:rsidRDefault="00685C4A"/>
    <w:sectPr w:rsidR="00685C4A" w:rsidRPr="004B53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5C4A" w:rsidRDefault="00685C4A" w:rsidP="004B5374">
      <w:pPr>
        <w:spacing w:line="240" w:lineRule="auto"/>
      </w:pPr>
      <w:r>
        <w:separator/>
      </w:r>
    </w:p>
  </w:endnote>
  <w:endnote w:type="continuationSeparator" w:id="1">
    <w:p w:rsidR="00685C4A" w:rsidRDefault="00685C4A" w:rsidP="004B537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5C4A" w:rsidRDefault="00685C4A" w:rsidP="004B5374">
      <w:pPr>
        <w:spacing w:line="240" w:lineRule="auto"/>
      </w:pPr>
      <w:r>
        <w:separator/>
      </w:r>
    </w:p>
  </w:footnote>
  <w:footnote w:type="continuationSeparator" w:id="1">
    <w:p w:rsidR="00685C4A" w:rsidRDefault="00685C4A" w:rsidP="004B537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5374"/>
    <w:rsid w:val="004B5374"/>
    <w:rsid w:val="00685C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374"/>
    <w:pPr>
      <w:widowControl w:val="0"/>
      <w:spacing w:line="600" w:lineRule="atLeas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5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53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537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53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LZIJ</dc:creator>
  <cp:keywords/>
  <dc:description/>
  <cp:lastModifiedBy>LZIJ</cp:lastModifiedBy>
  <cp:revision>2</cp:revision>
  <dcterms:created xsi:type="dcterms:W3CDTF">2016-09-05T02:01:00Z</dcterms:created>
  <dcterms:modified xsi:type="dcterms:W3CDTF">2016-09-05T02:02:00Z</dcterms:modified>
</cp:coreProperties>
</file>