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300" w:beforeAutospacing="0" w:after="570" w:afterAutospacing="0"/>
        <w:ind w:left="0" w:right="0" w:firstLine="0"/>
        <w:jc w:val="center"/>
        <w:rPr>
          <w:rFonts w:hint="eastAsia" w:ascii="方正仿宋简体" w:hAnsi="方正仿宋简体" w:eastAsia="方正小标宋简体" w:cs="方正仿宋简体"/>
          <w:i w:val="0"/>
          <w:iCs w:val="0"/>
          <w:caps w:val="0"/>
          <w:color w:val="auto"/>
          <w:spacing w:val="0"/>
          <w:sz w:val="32"/>
          <w:szCs w:val="32"/>
          <w:lang w:eastAsia="zh-CN"/>
        </w:rPr>
      </w:pPr>
      <w:r>
        <w:rPr>
          <w:rFonts w:hint="eastAsia" w:ascii="方正小标宋简体" w:hAnsi="方正小标宋简体" w:eastAsia="方正小标宋简体" w:cs="方正小标宋简体"/>
          <w:b w:val="0"/>
          <w:bCs w:val="0"/>
          <w:i w:val="0"/>
          <w:iCs w:val="0"/>
          <w:caps w:val="0"/>
          <w:color w:val="auto"/>
          <w:spacing w:val="0"/>
          <w:sz w:val="44"/>
          <w:szCs w:val="44"/>
        </w:rPr>
        <w:t>阳江市住房和城乡建设局</w:t>
      </w:r>
      <w:r>
        <w:rPr>
          <w:rFonts w:hint="eastAsia" w:ascii="方正小标宋简体" w:hAnsi="方正小标宋简体" w:eastAsia="方正小标宋简体" w:cs="方正小标宋简体"/>
          <w:b w:val="0"/>
          <w:bCs w:val="0"/>
          <w:i w:val="0"/>
          <w:iCs w:val="0"/>
          <w:caps w:val="0"/>
          <w:color w:val="auto"/>
          <w:spacing w:val="0"/>
          <w:sz w:val="44"/>
          <w:szCs w:val="44"/>
          <w:lang w:eastAsia="zh-CN"/>
        </w:rPr>
        <w:t>主动公开基本目录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微软雅黑" w:hAnsi="微软雅黑" w:eastAsia="微软雅黑" w:cs="微软雅黑"/>
          <w:i w:val="0"/>
          <w:iCs w:val="0"/>
          <w:caps w:val="0"/>
          <w:color w:val="000000"/>
          <w:spacing w:val="0"/>
        </w:rPr>
      </w:pPr>
      <w:r>
        <w:rPr>
          <w:rFonts w:hint="eastAsia" w:ascii="方正仿宋简体" w:hAnsi="方正仿宋简体" w:eastAsia="方正仿宋简体" w:cs="方正仿宋简体"/>
          <w:i w:val="0"/>
          <w:iCs w:val="0"/>
          <w:caps w:val="0"/>
          <w:color w:val="auto"/>
          <w:spacing w:val="0"/>
          <w:sz w:val="32"/>
          <w:szCs w:val="32"/>
        </w:rPr>
        <w:t>　　</w:t>
      </w:r>
      <w:r>
        <w:rPr>
          <w:rFonts w:hint="eastAsia" w:ascii="微软雅黑" w:hAnsi="微软雅黑" w:eastAsia="微软雅黑" w:cs="微软雅黑"/>
          <w:b w:val="0"/>
          <w:bCs w:val="0"/>
          <w:i w:val="0"/>
          <w:iCs w:val="0"/>
          <w:caps w:val="0"/>
          <w:color w:val="000000"/>
          <w:spacing w:val="0"/>
          <w:shd w:val="clear" w:fill="FFFFFF"/>
        </w:rPr>
        <w:t>第一部分　概述</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540" w:lineRule="atLeast"/>
        <w:ind w:left="0" w:right="0" w:firstLine="0"/>
        <w:jc w:val="left"/>
        <w:rPr>
          <w:rFonts w:hint="eastAsia" w:ascii="微软雅黑" w:hAnsi="微软雅黑" w:eastAsia="微软雅黑" w:cs="微软雅黑"/>
          <w:i w:val="0"/>
          <w:iCs w:val="0"/>
          <w:caps w:val="0"/>
          <w:color w:val="424242"/>
          <w:spacing w:val="0"/>
          <w:sz w:val="27"/>
          <w:szCs w:val="27"/>
        </w:rPr>
      </w:pPr>
      <w:r>
        <w:rPr>
          <w:rFonts w:hint="eastAsia" w:ascii="微软雅黑" w:hAnsi="微软雅黑" w:eastAsia="微软雅黑" w:cs="微软雅黑"/>
          <w:i w:val="0"/>
          <w:iCs w:val="0"/>
          <w:caps w:val="0"/>
          <w:color w:val="424242"/>
          <w:spacing w:val="0"/>
          <w:sz w:val="27"/>
          <w:szCs w:val="27"/>
          <w:shd w:val="clear" w:fill="FFFFFF"/>
        </w:rPr>
        <w:t>　　一、主要依据</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540" w:lineRule="atLeast"/>
        <w:ind w:left="0" w:right="0" w:firstLine="0"/>
        <w:jc w:val="left"/>
        <w:rPr>
          <w:rFonts w:hint="eastAsia" w:ascii="微软雅黑" w:hAnsi="微软雅黑" w:eastAsia="微软雅黑" w:cs="微软雅黑"/>
          <w:i w:val="0"/>
          <w:iCs w:val="0"/>
          <w:caps w:val="0"/>
          <w:color w:val="424242"/>
          <w:spacing w:val="0"/>
          <w:sz w:val="27"/>
          <w:szCs w:val="27"/>
        </w:rPr>
      </w:pPr>
      <w:r>
        <w:rPr>
          <w:rFonts w:hint="eastAsia" w:ascii="微软雅黑" w:hAnsi="微软雅黑" w:eastAsia="微软雅黑" w:cs="微软雅黑"/>
          <w:i w:val="0"/>
          <w:iCs w:val="0"/>
          <w:caps w:val="0"/>
          <w:color w:val="424242"/>
          <w:spacing w:val="0"/>
          <w:sz w:val="27"/>
          <w:szCs w:val="27"/>
          <w:shd w:val="clear" w:fill="FFFFFF"/>
        </w:rPr>
        <w:t>　　（一）《中华人民共和国政府信息公开条例》；</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540" w:lineRule="atLeast"/>
        <w:ind w:left="0" w:right="0" w:firstLine="0"/>
        <w:jc w:val="left"/>
        <w:rPr>
          <w:rFonts w:hint="eastAsia" w:ascii="微软雅黑" w:hAnsi="微软雅黑" w:eastAsia="微软雅黑" w:cs="微软雅黑"/>
          <w:i w:val="0"/>
          <w:iCs w:val="0"/>
          <w:caps w:val="0"/>
          <w:color w:val="424242"/>
          <w:spacing w:val="0"/>
          <w:sz w:val="27"/>
          <w:szCs w:val="27"/>
        </w:rPr>
      </w:pPr>
      <w:r>
        <w:rPr>
          <w:rFonts w:hint="eastAsia" w:ascii="微软雅黑" w:hAnsi="微软雅黑" w:eastAsia="微软雅黑" w:cs="微软雅黑"/>
          <w:i w:val="0"/>
          <w:iCs w:val="0"/>
          <w:caps w:val="0"/>
          <w:color w:val="424242"/>
          <w:spacing w:val="0"/>
          <w:sz w:val="27"/>
          <w:szCs w:val="27"/>
          <w:shd w:val="clear" w:fill="FFFFFF"/>
        </w:rPr>
        <w:t>　　（二）国务院办公厅关于全面推进基层政务公开标准化规范化工作的指导意见（国办发〔2019〕54号）；</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540" w:lineRule="atLeast"/>
        <w:ind w:left="0" w:right="0" w:firstLine="0"/>
        <w:jc w:val="left"/>
        <w:rPr>
          <w:rFonts w:hint="eastAsia" w:ascii="微软雅黑" w:hAnsi="微软雅黑" w:eastAsia="微软雅黑" w:cs="微软雅黑"/>
          <w:i w:val="0"/>
          <w:iCs w:val="0"/>
          <w:caps w:val="0"/>
          <w:color w:val="424242"/>
          <w:spacing w:val="0"/>
          <w:sz w:val="27"/>
          <w:szCs w:val="27"/>
        </w:rPr>
      </w:pPr>
      <w:r>
        <w:rPr>
          <w:rFonts w:hint="eastAsia" w:ascii="微软雅黑" w:hAnsi="微软雅黑" w:eastAsia="微软雅黑" w:cs="微软雅黑"/>
          <w:i w:val="0"/>
          <w:iCs w:val="0"/>
          <w:caps w:val="0"/>
          <w:color w:val="424242"/>
          <w:spacing w:val="0"/>
          <w:sz w:val="27"/>
          <w:szCs w:val="27"/>
          <w:shd w:val="clear" w:fill="FFFFFF"/>
        </w:rPr>
        <w:t>　　（三）广东省人民政府办公厅关于全面推进基层政务公开标准化规范化工作的实施意见（粤府办〔2020〕10号）；</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540" w:lineRule="atLeast"/>
        <w:ind w:left="0" w:right="0" w:firstLine="0"/>
        <w:jc w:val="left"/>
        <w:rPr>
          <w:rFonts w:hint="eastAsia" w:ascii="微软雅黑" w:hAnsi="微软雅黑" w:eastAsia="微软雅黑" w:cs="微软雅黑"/>
          <w:i w:val="0"/>
          <w:iCs w:val="0"/>
          <w:caps w:val="0"/>
          <w:color w:val="424242"/>
          <w:spacing w:val="0"/>
          <w:sz w:val="27"/>
          <w:szCs w:val="27"/>
        </w:rPr>
      </w:pPr>
      <w:r>
        <w:rPr>
          <w:rFonts w:hint="eastAsia" w:ascii="微软雅黑" w:hAnsi="微软雅黑" w:eastAsia="微软雅黑" w:cs="微软雅黑"/>
          <w:i w:val="0"/>
          <w:iCs w:val="0"/>
          <w:caps w:val="0"/>
          <w:color w:val="424242"/>
          <w:spacing w:val="0"/>
          <w:sz w:val="27"/>
          <w:szCs w:val="27"/>
          <w:shd w:val="clear" w:fill="FFFFFF"/>
        </w:rPr>
        <w:t>　　（四）广东省人民政府办公厅关于印发广东省贯彻落实国务院办公厅2021年政务公开工作要点分工方案的通知（粤府办〔2021〕17号）；</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540" w:lineRule="atLeast"/>
        <w:ind w:left="0" w:right="0" w:firstLine="0"/>
        <w:jc w:val="left"/>
        <w:rPr>
          <w:rFonts w:hint="eastAsia" w:ascii="微软雅黑" w:hAnsi="微软雅黑" w:eastAsia="微软雅黑" w:cs="微软雅黑"/>
          <w:i w:val="0"/>
          <w:iCs w:val="0"/>
          <w:caps w:val="0"/>
          <w:color w:val="424242"/>
          <w:spacing w:val="0"/>
          <w:sz w:val="27"/>
          <w:szCs w:val="27"/>
        </w:rPr>
      </w:pPr>
      <w:r>
        <w:rPr>
          <w:rFonts w:hint="eastAsia" w:ascii="微软雅黑" w:hAnsi="微软雅黑" w:eastAsia="微软雅黑" w:cs="微软雅黑"/>
          <w:i w:val="0"/>
          <w:iCs w:val="0"/>
          <w:caps w:val="0"/>
          <w:color w:val="424242"/>
          <w:spacing w:val="0"/>
          <w:sz w:val="27"/>
          <w:szCs w:val="27"/>
          <w:shd w:val="clear" w:fill="FFFFFF"/>
        </w:rPr>
        <w:t>　　（五）阳江市人民政府办公室关于印发《阳江市2021年政务公开工作要点分工方案》的通知（阳府办〔2021〕4号）。</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540" w:lineRule="atLeast"/>
        <w:ind w:left="0" w:right="0" w:firstLine="0"/>
        <w:jc w:val="left"/>
        <w:rPr>
          <w:rFonts w:hint="eastAsia" w:ascii="微软雅黑" w:hAnsi="微软雅黑" w:eastAsia="微软雅黑" w:cs="微软雅黑"/>
          <w:i w:val="0"/>
          <w:iCs w:val="0"/>
          <w:caps w:val="0"/>
          <w:color w:val="424242"/>
          <w:spacing w:val="0"/>
          <w:sz w:val="27"/>
          <w:szCs w:val="27"/>
        </w:rPr>
      </w:pPr>
      <w:r>
        <w:rPr>
          <w:rFonts w:hint="eastAsia" w:ascii="微软雅黑" w:hAnsi="微软雅黑" w:eastAsia="微软雅黑" w:cs="微软雅黑"/>
          <w:i w:val="0"/>
          <w:iCs w:val="0"/>
          <w:caps w:val="0"/>
          <w:color w:val="424242"/>
          <w:spacing w:val="0"/>
          <w:sz w:val="27"/>
          <w:szCs w:val="27"/>
          <w:shd w:val="clear" w:fill="FFFFFF"/>
        </w:rPr>
        <w:t>　　二、责任主体、公开时限、方式和监督渠道</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540" w:lineRule="atLeast"/>
        <w:ind w:left="0" w:right="0" w:firstLine="0"/>
        <w:jc w:val="left"/>
        <w:rPr>
          <w:rFonts w:hint="eastAsia" w:ascii="微软雅黑" w:hAnsi="微软雅黑" w:eastAsia="微软雅黑" w:cs="微软雅黑"/>
          <w:i w:val="0"/>
          <w:iCs w:val="0"/>
          <w:caps w:val="0"/>
          <w:color w:val="424242"/>
          <w:spacing w:val="0"/>
          <w:sz w:val="27"/>
          <w:szCs w:val="27"/>
        </w:rPr>
      </w:pPr>
      <w:r>
        <w:rPr>
          <w:rFonts w:hint="eastAsia" w:ascii="微软雅黑" w:hAnsi="微软雅黑" w:eastAsia="微软雅黑" w:cs="微软雅黑"/>
          <w:i w:val="0"/>
          <w:iCs w:val="0"/>
          <w:caps w:val="0"/>
          <w:color w:val="424242"/>
          <w:spacing w:val="0"/>
          <w:sz w:val="27"/>
          <w:szCs w:val="27"/>
          <w:shd w:val="clear" w:fill="FFFFFF"/>
        </w:rPr>
        <w:t>　　（一）责任主体：阳江市住房和城乡建设局。</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540" w:lineRule="atLeast"/>
        <w:ind w:left="0" w:right="0" w:firstLine="0"/>
        <w:jc w:val="left"/>
        <w:rPr>
          <w:rFonts w:hint="eastAsia" w:ascii="微软雅黑" w:hAnsi="微软雅黑" w:eastAsia="微软雅黑" w:cs="微软雅黑"/>
          <w:i w:val="0"/>
          <w:iCs w:val="0"/>
          <w:caps w:val="0"/>
          <w:color w:val="424242"/>
          <w:spacing w:val="0"/>
          <w:sz w:val="27"/>
          <w:szCs w:val="27"/>
        </w:rPr>
      </w:pPr>
      <w:r>
        <w:rPr>
          <w:rFonts w:hint="eastAsia" w:ascii="微软雅黑" w:hAnsi="微软雅黑" w:eastAsia="微软雅黑" w:cs="微软雅黑"/>
          <w:i w:val="0"/>
          <w:iCs w:val="0"/>
          <w:caps w:val="0"/>
          <w:color w:val="424242"/>
          <w:spacing w:val="0"/>
          <w:sz w:val="27"/>
          <w:szCs w:val="27"/>
          <w:shd w:val="clear" w:fill="FFFFFF"/>
        </w:rPr>
        <w:t>　　（二）公开时限：政府信息形成或者变更之日起20个工作日内（法律法规对政府信息公开的期限另有规定的从其规定）。</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540" w:lineRule="atLeast"/>
        <w:ind w:left="0" w:right="0" w:firstLine="0"/>
        <w:jc w:val="left"/>
        <w:rPr>
          <w:rFonts w:hint="eastAsia" w:ascii="微软雅黑" w:hAnsi="微软雅黑" w:eastAsia="微软雅黑" w:cs="微软雅黑"/>
          <w:i w:val="0"/>
          <w:iCs w:val="0"/>
          <w:caps w:val="0"/>
          <w:color w:val="424242"/>
          <w:spacing w:val="0"/>
          <w:sz w:val="27"/>
          <w:szCs w:val="27"/>
        </w:rPr>
      </w:pPr>
      <w:r>
        <w:rPr>
          <w:rFonts w:hint="eastAsia" w:ascii="微软雅黑" w:hAnsi="微软雅黑" w:eastAsia="微软雅黑" w:cs="微软雅黑"/>
          <w:i w:val="0"/>
          <w:iCs w:val="0"/>
          <w:caps w:val="0"/>
          <w:color w:val="424242"/>
          <w:spacing w:val="0"/>
          <w:sz w:val="27"/>
          <w:szCs w:val="27"/>
          <w:shd w:val="clear" w:fill="FFFFFF"/>
        </w:rPr>
        <w:t>　　（三）公开方式：阳江市人民政府门户网站等媒体主动公开。</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540" w:lineRule="atLeast"/>
        <w:ind w:left="0" w:right="0" w:firstLine="0"/>
        <w:jc w:val="left"/>
        <w:rPr>
          <w:rFonts w:hint="eastAsia" w:ascii="微软雅黑" w:hAnsi="微软雅黑" w:eastAsia="微软雅黑" w:cs="微软雅黑"/>
          <w:i w:val="0"/>
          <w:iCs w:val="0"/>
          <w:caps w:val="0"/>
          <w:color w:val="424242"/>
          <w:spacing w:val="0"/>
          <w:sz w:val="27"/>
          <w:szCs w:val="27"/>
        </w:rPr>
      </w:pPr>
      <w:r>
        <w:rPr>
          <w:rFonts w:hint="eastAsia" w:ascii="微软雅黑" w:hAnsi="微软雅黑" w:eastAsia="微软雅黑" w:cs="微软雅黑"/>
          <w:i w:val="0"/>
          <w:iCs w:val="0"/>
          <w:caps w:val="0"/>
          <w:color w:val="424242"/>
          <w:spacing w:val="0"/>
          <w:sz w:val="27"/>
          <w:szCs w:val="27"/>
          <w:shd w:val="clear" w:fill="FFFFFF"/>
        </w:rPr>
        <w:t>　　（四）监督渠道：通过阳江市人民政府网门户网站互动、电话监督。</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540" w:lineRule="atLeast"/>
        <w:ind w:left="0" w:right="0" w:firstLine="0"/>
        <w:jc w:val="left"/>
        <w:rPr>
          <w:rFonts w:hint="eastAsia" w:ascii="微软雅黑" w:hAnsi="微软雅黑" w:eastAsia="微软雅黑" w:cs="微软雅黑"/>
          <w:i w:val="0"/>
          <w:iCs w:val="0"/>
          <w:caps w:val="0"/>
          <w:color w:val="424242"/>
          <w:spacing w:val="0"/>
          <w:sz w:val="27"/>
          <w:szCs w:val="27"/>
        </w:rPr>
      </w:pPr>
      <w:r>
        <w:rPr>
          <w:rFonts w:hint="eastAsia" w:ascii="微软雅黑" w:hAnsi="微软雅黑" w:eastAsia="微软雅黑" w:cs="微软雅黑"/>
          <w:i w:val="0"/>
          <w:iCs w:val="0"/>
          <w:caps w:val="0"/>
          <w:color w:val="424242"/>
          <w:spacing w:val="0"/>
          <w:sz w:val="27"/>
          <w:szCs w:val="27"/>
          <w:shd w:val="clear" w:fill="FFFFFF"/>
        </w:rPr>
        <w:t>　　网站互动地址：http://www.yangjiang.gov.cn/yjzjj/gkmlpt/index　　电话：0662-3428800</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000000"/>
          <w:spacing w:val="0"/>
        </w:rPr>
      </w:pPr>
      <w:r>
        <w:rPr>
          <w:rFonts w:hint="eastAsia" w:ascii="微软雅黑" w:hAnsi="微软雅黑" w:eastAsia="微软雅黑" w:cs="微软雅黑"/>
          <w:b w:val="0"/>
          <w:bCs w:val="0"/>
          <w:i w:val="0"/>
          <w:iCs w:val="0"/>
          <w:caps w:val="0"/>
          <w:color w:val="000000"/>
          <w:spacing w:val="0"/>
          <w:shd w:val="clear" w:fill="FFFFFF"/>
        </w:rPr>
        <w:t>第二部分　主动公开基本目录</w:t>
      </w:r>
    </w:p>
    <w:tbl>
      <w:tblPr>
        <w:tblStyle w:val="7"/>
        <w:tblW w:w="9877" w:type="dxa"/>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735"/>
        <w:gridCol w:w="1132"/>
        <w:gridCol w:w="1401"/>
        <w:gridCol w:w="3283"/>
        <w:gridCol w:w="3326"/>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PrEx>
        <w:trPr>
          <w:trHeight w:val="786" w:hRule="atLeast"/>
        </w:trPr>
        <w:tc>
          <w:tcPr>
            <w:tcW w:w="735" w:type="dxa"/>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rPr>
              <w:t>　　序号</w:t>
            </w:r>
          </w:p>
        </w:tc>
        <w:tc>
          <w:tcPr>
            <w:tcW w:w="2533"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rPr>
              <w:t>公开类别及事项</w:t>
            </w:r>
          </w:p>
        </w:tc>
        <w:tc>
          <w:tcPr>
            <w:tcW w:w="3283" w:type="dxa"/>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rPr>
              <w:t>公开内容</w:t>
            </w:r>
          </w:p>
        </w:tc>
        <w:tc>
          <w:tcPr>
            <w:tcW w:w="3326" w:type="dxa"/>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rPr>
              <w:t>责任单位</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PrEx>
        <w:trPr>
          <w:trHeight w:val="1865" w:hRule="atLeast"/>
        </w:trPr>
        <w:tc>
          <w:tcPr>
            <w:tcW w:w="735"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0"/>
                <w:sz w:val="27"/>
                <w:szCs w:val="27"/>
              </w:rPr>
            </w:pPr>
          </w:p>
        </w:tc>
        <w:tc>
          <w:tcPr>
            <w:tcW w:w="1132"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rPr>
              <w:t>一级</w:t>
            </w:r>
          </w:p>
        </w:tc>
        <w:tc>
          <w:tcPr>
            <w:tcW w:w="1401"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rPr>
              <w:t>二级</w:t>
            </w:r>
          </w:p>
        </w:tc>
        <w:tc>
          <w:tcPr>
            <w:tcW w:w="3283"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0"/>
                <w:sz w:val="27"/>
                <w:szCs w:val="27"/>
              </w:rPr>
            </w:pPr>
          </w:p>
        </w:tc>
        <w:tc>
          <w:tcPr>
            <w:tcW w:w="3326"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0"/>
                <w:sz w:val="27"/>
                <w:szCs w:val="27"/>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PrEx>
        <w:trPr>
          <w:trHeight w:val="786" w:hRule="atLeast"/>
        </w:trPr>
        <w:tc>
          <w:tcPr>
            <w:tcW w:w="735"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rPr>
              <w:t>1</w:t>
            </w:r>
          </w:p>
        </w:tc>
        <w:tc>
          <w:tcPr>
            <w:tcW w:w="1132" w:type="dxa"/>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rPr>
              <w:t>组织</w:t>
            </w:r>
          </w:p>
          <w:p>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rPr>
              <w:t>机构</w:t>
            </w:r>
          </w:p>
        </w:tc>
        <w:tc>
          <w:tcPr>
            <w:tcW w:w="1401"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rPr>
              <w:t>领导分工</w:t>
            </w:r>
          </w:p>
        </w:tc>
        <w:tc>
          <w:tcPr>
            <w:tcW w:w="3283"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rPr>
              <w:t>局领导简介、工作分工等</w:t>
            </w:r>
          </w:p>
        </w:tc>
        <w:tc>
          <w:tcPr>
            <w:tcW w:w="3326"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rPr>
              <w:t>人事科</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PrEx>
        <w:trPr>
          <w:trHeight w:val="786" w:hRule="atLeast"/>
        </w:trPr>
        <w:tc>
          <w:tcPr>
            <w:tcW w:w="735"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rPr>
              <w:t>2</w:t>
            </w:r>
          </w:p>
        </w:tc>
        <w:tc>
          <w:tcPr>
            <w:tcW w:w="1132"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0"/>
                <w:sz w:val="27"/>
                <w:szCs w:val="27"/>
              </w:rPr>
            </w:pPr>
          </w:p>
        </w:tc>
        <w:tc>
          <w:tcPr>
            <w:tcW w:w="1401"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rPr>
              <w:t>机构职能</w:t>
            </w:r>
          </w:p>
        </w:tc>
        <w:tc>
          <w:tcPr>
            <w:tcW w:w="3283"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rPr>
              <w:t>主要职责、机构设置等</w:t>
            </w:r>
          </w:p>
        </w:tc>
        <w:tc>
          <w:tcPr>
            <w:tcW w:w="3326"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rPr>
              <w:t>人事科</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PrEx>
        <w:trPr>
          <w:trHeight w:val="312" w:hRule="atLeast"/>
        </w:trPr>
        <w:tc>
          <w:tcPr>
            <w:tcW w:w="735" w:type="dxa"/>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rPr>
              <w:t>3</w:t>
            </w:r>
          </w:p>
        </w:tc>
        <w:tc>
          <w:tcPr>
            <w:tcW w:w="2533" w:type="dxa"/>
            <w:gridSpan w:val="2"/>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rPr>
              <w:t>部门文件</w:t>
            </w:r>
          </w:p>
        </w:tc>
        <w:tc>
          <w:tcPr>
            <w:tcW w:w="3283" w:type="dxa"/>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rPr>
              <w:t>局制发的需要主动公开的文件</w:t>
            </w:r>
          </w:p>
        </w:tc>
        <w:tc>
          <w:tcPr>
            <w:tcW w:w="3326" w:type="dxa"/>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rPr>
              <w:t>各科室、局直属各单位</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PrEx>
        <w:trPr>
          <w:trHeight w:val="1333" w:hRule="atLeast"/>
        </w:trPr>
        <w:tc>
          <w:tcPr>
            <w:tcW w:w="735"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0"/>
                <w:sz w:val="27"/>
                <w:szCs w:val="27"/>
              </w:rPr>
            </w:pPr>
          </w:p>
        </w:tc>
        <w:tc>
          <w:tcPr>
            <w:tcW w:w="2533" w:type="dxa"/>
            <w:gridSpan w:val="2"/>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0"/>
                <w:sz w:val="27"/>
                <w:szCs w:val="27"/>
              </w:rPr>
            </w:pPr>
          </w:p>
        </w:tc>
        <w:tc>
          <w:tcPr>
            <w:tcW w:w="3283"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0"/>
                <w:sz w:val="27"/>
                <w:szCs w:val="27"/>
              </w:rPr>
            </w:pPr>
          </w:p>
        </w:tc>
        <w:tc>
          <w:tcPr>
            <w:tcW w:w="3326"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0"/>
                <w:sz w:val="27"/>
                <w:szCs w:val="27"/>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PrEx>
        <w:trPr>
          <w:trHeight w:val="2029" w:hRule="atLeast"/>
        </w:trPr>
        <w:tc>
          <w:tcPr>
            <w:tcW w:w="735"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rPr>
              <w:t>4</w:t>
            </w:r>
          </w:p>
        </w:tc>
        <w:tc>
          <w:tcPr>
            <w:tcW w:w="2533"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rPr>
              <w:t>工作动态</w:t>
            </w:r>
          </w:p>
        </w:tc>
        <w:tc>
          <w:tcPr>
            <w:tcW w:w="3283"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rPr>
              <w:t>工作报告、会议活动、考察公示、人事任免、公务员招考等</w:t>
            </w:r>
          </w:p>
        </w:tc>
        <w:tc>
          <w:tcPr>
            <w:tcW w:w="3326"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rPr>
              <w:t>各科室、局直属各单位</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PrEx>
        <w:trPr>
          <w:trHeight w:val="1408" w:hRule="atLeast"/>
        </w:trPr>
        <w:tc>
          <w:tcPr>
            <w:tcW w:w="735"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rPr>
              <w:t>5</w:t>
            </w:r>
          </w:p>
        </w:tc>
        <w:tc>
          <w:tcPr>
            <w:tcW w:w="2533"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rPr>
              <w:t>信息公开</w:t>
            </w:r>
          </w:p>
        </w:tc>
        <w:tc>
          <w:tcPr>
            <w:tcW w:w="3283"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rPr>
              <w:t>信息公开工作指南、信息公开工作年度报告等</w:t>
            </w:r>
          </w:p>
        </w:tc>
        <w:tc>
          <w:tcPr>
            <w:tcW w:w="3326"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rPr>
              <w:t>办公室、科教信息科、法制科</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PrEx>
        <w:trPr>
          <w:trHeight w:val="1408" w:hRule="atLeast"/>
        </w:trPr>
        <w:tc>
          <w:tcPr>
            <w:tcW w:w="735"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rPr>
              <w:t>6</w:t>
            </w:r>
          </w:p>
        </w:tc>
        <w:tc>
          <w:tcPr>
            <w:tcW w:w="1132"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rPr>
              <w:t>行政</w:t>
            </w:r>
          </w:p>
          <w:p>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rPr>
              <w:t>执法</w:t>
            </w:r>
          </w:p>
        </w:tc>
        <w:tc>
          <w:tcPr>
            <w:tcW w:w="1401"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rPr>
              <w:t>行政许可</w:t>
            </w:r>
          </w:p>
        </w:tc>
        <w:tc>
          <w:tcPr>
            <w:tcW w:w="3283"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rPr>
              <w:t>行政许可事项清单及办事指南、行政许可结果</w:t>
            </w:r>
          </w:p>
        </w:tc>
        <w:tc>
          <w:tcPr>
            <w:tcW w:w="3326"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rPr>
              <w:t>法制科、审批科、房地产科、建管科、质安科、住房预售科、城市建设科、</w:t>
            </w:r>
            <w:r>
              <w:rPr>
                <w:rFonts w:hint="eastAsia" w:ascii="微软雅黑" w:hAnsi="微软雅黑" w:eastAsia="微软雅黑" w:cs="微软雅黑"/>
                <w:i w:val="0"/>
                <w:iCs w:val="0"/>
                <w:caps w:val="0"/>
                <w:color w:val="424242"/>
                <w:spacing w:val="0"/>
                <w:sz w:val="27"/>
                <w:szCs w:val="27"/>
                <w:lang w:eastAsia="zh-CN"/>
              </w:rPr>
              <w:t>消防管理科、</w:t>
            </w:r>
            <w:bookmarkStart w:id="0" w:name="_GoBack"/>
            <w:bookmarkEnd w:id="0"/>
            <w:r>
              <w:rPr>
                <w:rFonts w:hint="eastAsia" w:ascii="微软雅黑" w:hAnsi="微软雅黑" w:eastAsia="微软雅黑" w:cs="微软雅黑"/>
                <w:i w:val="0"/>
                <w:iCs w:val="0"/>
                <w:caps w:val="0"/>
                <w:color w:val="424242"/>
                <w:spacing w:val="0"/>
                <w:sz w:val="27"/>
                <w:szCs w:val="27"/>
              </w:rPr>
              <w:t>散装办</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PrEx>
        <w:trPr>
          <w:trHeight w:val="786" w:hRule="atLeast"/>
        </w:trPr>
        <w:tc>
          <w:tcPr>
            <w:tcW w:w="735"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rFonts w:hint="eastAsia" w:eastAsiaTheme="minorEastAsia"/>
                <w:color w:val="424242"/>
                <w:lang w:eastAsia="zh-CN"/>
              </w:rPr>
            </w:pPr>
            <w:r>
              <w:rPr>
                <w:rFonts w:hint="eastAsia" w:ascii="微软雅黑" w:hAnsi="微软雅黑" w:eastAsia="微软雅黑" w:cs="微软雅黑"/>
                <w:i w:val="0"/>
                <w:iCs w:val="0"/>
                <w:caps w:val="0"/>
                <w:color w:val="424242"/>
                <w:spacing w:val="0"/>
                <w:sz w:val="27"/>
                <w:szCs w:val="27"/>
                <w:lang w:val="en-US" w:eastAsia="zh-CN"/>
              </w:rPr>
              <w:t>7</w:t>
            </w:r>
          </w:p>
        </w:tc>
        <w:tc>
          <w:tcPr>
            <w:tcW w:w="2533"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rPr>
              <w:t>财政预决算</w:t>
            </w:r>
          </w:p>
        </w:tc>
        <w:tc>
          <w:tcPr>
            <w:tcW w:w="3283"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rPr>
              <w:t>年度财政决算、预算信息</w:t>
            </w:r>
          </w:p>
        </w:tc>
        <w:tc>
          <w:tcPr>
            <w:tcW w:w="3326"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rPr>
              <w:t>计财科、局直属的单位</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PrEx>
        <w:trPr>
          <w:trHeight w:val="2044" w:hRule="atLeast"/>
        </w:trPr>
        <w:tc>
          <w:tcPr>
            <w:tcW w:w="735"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rFonts w:hint="eastAsia" w:eastAsiaTheme="minorEastAsia"/>
                <w:color w:val="424242"/>
                <w:lang w:eastAsia="zh-CN"/>
              </w:rPr>
            </w:pPr>
            <w:r>
              <w:rPr>
                <w:rFonts w:hint="eastAsia" w:ascii="微软雅黑" w:hAnsi="微软雅黑" w:eastAsia="微软雅黑" w:cs="微软雅黑"/>
                <w:i w:val="0"/>
                <w:iCs w:val="0"/>
                <w:caps w:val="0"/>
                <w:color w:val="424242"/>
                <w:spacing w:val="0"/>
                <w:sz w:val="27"/>
                <w:szCs w:val="27"/>
                <w:lang w:val="en-US" w:eastAsia="zh-CN"/>
              </w:rPr>
              <w:t>8</w:t>
            </w:r>
          </w:p>
        </w:tc>
        <w:tc>
          <w:tcPr>
            <w:tcW w:w="2533"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rPr>
              <w:t>其他</w:t>
            </w:r>
          </w:p>
        </w:tc>
        <w:tc>
          <w:tcPr>
            <w:tcW w:w="3283"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rPr>
              <w:t>规划计划、统计信息、招标采购、重点工程、监督检查、应急管理、公告公示等</w:t>
            </w:r>
          </w:p>
        </w:tc>
        <w:tc>
          <w:tcPr>
            <w:tcW w:w="3326"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left"/>
              <w:rPr>
                <w:color w:val="424242"/>
              </w:rPr>
            </w:pPr>
            <w:r>
              <w:rPr>
                <w:rFonts w:hint="eastAsia" w:ascii="微软雅黑" w:hAnsi="微软雅黑" w:eastAsia="微软雅黑" w:cs="微软雅黑"/>
                <w:i w:val="0"/>
                <w:iCs w:val="0"/>
                <w:caps w:val="0"/>
                <w:color w:val="424242"/>
                <w:spacing w:val="0"/>
                <w:sz w:val="27"/>
                <w:szCs w:val="27"/>
              </w:rPr>
              <w:t>各科室、局直属各单位</w:t>
            </w:r>
          </w:p>
        </w:tc>
      </w:tr>
    </w:tbl>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105" w:beforeAutospacing="0" w:after="105" w:afterAutospacing="0" w:line="540" w:lineRule="atLeast"/>
        <w:ind w:right="0" w:firstLine="1600" w:firstLineChars="500"/>
        <w:jc w:val="both"/>
        <w:rPr>
          <w:rFonts w:hint="eastAsia" w:ascii="方正仿宋简体" w:hAnsi="方正仿宋简体" w:eastAsia="方正仿宋简体" w:cs="方正仿宋简体"/>
          <w:i w:val="0"/>
          <w:iCs w:val="0"/>
          <w:caps w:val="0"/>
          <w:color w:val="auto"/>
          <w:spacing w:val="0"/>
          <w:sz w:val="32"/>
          <w:szCs w:val="32"/>
          <w:u w:val="none"/>
        </w:rPr>
      </w:pPr>
    </w:p>
    <w:p>
      <w:pPr>
        <w:rPr>
          <w:color w:val="auto"/>
        </w:rPr>
      </w:pPr>
    </w:p>
    <w:sectPr>
      <w:footerReference r:id="rId3" w:type="default"/>
      <w:pgSz w:w="11906" w:h="16838"/>
      <w:pgMar w:top="1440" w:right="1633" w:bottom="1440" w:left="163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00002FF" w:usb1="4000ACFF" w:usb2="00000001" w:usb3="00000000" w:csb0="2000019F" w:csb1="00000000"/>
  </w:font>
  <w:font w:name="方正仿宋简体">
    <w:panose1 w:val="02010601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书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4"/>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true"/>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7E7E40"/>
    <w:rsid w:val="0B7FEE10"/>
    <w:rsid w:val="1F9D0A72"/>
    <w:rsid w:val="3E7E7E40"/>
    <w:rsid w:val="66591F7F"/>
    <w:rsid w:val="77DF4D6C"/>
    <w:rsid w:val="7CDB5E5D"/>
    <w:rsid w:val="7CF71D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 w:type="character" w:styleId="10">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1428</Words>
  <Characters>1530</Characters>
  <Lines>0</Lines>
  <Paragraphs>0</Paragraphs>
  <TotalTime>8</TotalTime>
  <ScaleCrop>false</ScaleCrop>
  <LinksUpToDate>false</LinksUpToDate>
  <CharactersWithSpaces>1567</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2022-03-31T23:54:00Z</dcterms:created>
  <dc:creator>挺</dc:creator>
  <cp:lastModifiedBy>韦诚</cp:lastModifiedBy>
  <cp:lastPrinted>2022-03-31T23:57:00Z</cp:lastPrinted>
  <dcterms:modified xsi:type="dcterms:W3CDTF">2024-11-19T08:49:41Z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30B14C97399C454482954E1FA4B1D881</vt:lpwstr>
  </property>
</Properties>
</file>